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8639" w14:textId="77777777" w:rsidR="007C6AD8" w:rsidRDefault="007C6AD8">
      <w:pPr>
        <w:spacing w:before="2200" w:after="0" w:line="240" w:lineRule="auto"/>
      </w:pPr>
    </w:p>
    <w:p w14:paraId="563EE9B6" w14:textId="77777777" w:rsidR="007C6AD8" w:rsidRDefault="00000000">
      <w:pPr>
        <w:spacing w:after="200"/>
        <w:jc w:val="center"/>
      </w:pPr>
      <w:r>
        <w:rPr>
          <w:b/>
          <w:color w:val="1F3864"/>
          <w:spacing w:val="80"/>
          <w:sz w:val="24"/>
          <w:szCs w:val="24"/>
        </w:rPr>
        <w:t>WEEK 5 READING COURSEPACK</w:t>
      </w:r>
    </w:p>
    <w:p w14:paraId="4698BD04" w14:textId="77777777" w:rsidR="007C6AD8" w:rsidRDefault="00000000">
      <w:pPr>
        <w:pStyle w:val="Title"/>
        <w:spacing w:before="0"/>
      </w:pPr>
      <w:r>
        <w:rPr>
          <w:sz w:val="60"/>
          <w:szCs w:val="60"/>
        </w:rPr>
        <w:t>ADEX547 Specail Topics in Organisation and Strategy</w:t>
      </w:r>
    </w:p>
    <w:p w14:paraId="6C980A62" w14:textId="77777777" w:rsidR="007C6AD8" w:rsidRDefault="007C6AD8">
      <w:pPr>
        <w:pBdr>
          <w:bottom w:val="single" w:sz="12" w:space="6" w:color="1F3864"/>
        </w:pBdr>
        <w:spacing w:before="40" w:after="220"/>
        <w:ind w:left="2600" w:right="2600"/>
        <w:jc w:val="center"/>
      </w:pPr>
    </w:p>
    <w:p w14:paraId="1FD339D4" w14:textId="77777777" w:rsidR="007C6AD8" w:rsidRDefault="00000000">
      <w:pPr>
        <w:spacing w:after="120"/>
        <w:jc w:val="center"/>
      </w:pPr>
      <w:r>
        <w:rPr>
          <w:b/>
          <w:color w:val="1F3864"/>
          <w:sz w:val="36"/>
          <w:szCs w:val="36"/>
        </w:rPr>
        <w:t>Week 5 — ESG &amp; AI Governance</w:t>
      </w:r>
    </w:p>
    <w:p w14:paraId="055E46F9" w14:textId="77777777" w:rsidR="007C6AD8" w:rsidRDefault="00000000">
      <w:pPr>
        <w:spacing w:after="1000"/>
        <w:jc w:val="center"/>
      </w:pPr>
      <w:r>
        <w:rPr>
          <w:i/>
          <w:color w:val="404040"/>
          <w:sz w:val="26"/>
          <w:szCs w:val="26"/>
        </w:rPr>
        <w:t>Coursepack</w:t>
      </w:r>
    </w:p>
    <w:p w14:paraId="0CD5607A" w14:textId="77777777" w:rsidR="007C6AD8" w:rsidRDefault="00000000">
      <w:pPr>
        <w:spacing w:after="120"/>
        <w:jc w:val="center"/>
      </w:pPr>
      <w:r>
        <w:rPr>
          <w:color w:val="1F3864"/>
          <w:sz w:val="24"/>
          <w:szCs w:val="24"/>
        </w:rPr>
        <w:t>Boğaziçi University · Executive MBA · Summer 2026 · Instructor: Hakan Göral</w:t>
      </w:r>
    </w:p>
    <w:p w14:paraId="70E2EDA0" w14:textId="77777777" w:rsidR="007C6AD8" w:rsidRDefault="00000000">
      <w:pPr>
        <w:spacing w:after="0"/>
        <w:ind w:left="1400" w:right="1400"/>
        <w:jc w:val="center"/>
      </w:pPr>
      <w:r>
        <w:rPr>
          <w:i/>
          <w:color w:val="595959"/>
          <w:sz w:val="18"/>
          <w:szCs w:val="18"/>
        </w:rPr>
        <w:t>Prepared July 2026. ESG measurement practice and AI regulation are both moving targets; dated specifics below are illustrative of the state of play at time of writing, not legal advice.</w:t>
      </w:r>
    </w:p>
    <w:p w14:paraId="4CC31400" w14:textId="77777777" w:rsidR="007C6AD8" w:rsidRDefault="00000000">
      <w:pPr>
        <w:spacing w:after="0"/>
      </w:pPr>
      <w:r>
        <w:br w:type="page"/>
      </w:r>
    </w:p>
    <w:p w14:paraId="72E32E05" w14:textId="77777777" w:rsidR="007C6AD8" w:rsidRDefault="00000000">
      <w:pPr>
        <w:pStyle w:val="Heading2"/>
      </w:pPr>
      <w:bookmarkStart w:id="0" w:name="how-to-use-this-reader"/>
      <w:r>
        <w:lastRenderedPageBreak/>
        <w:t>How to Use This Reader</w:t>
      </w:r>
      <w:bookmarkEnd w:id="0"/>
    </w:p>
    <w:p w14:paraId="106976D9" w14:textId="77777777" w:rsidR="007C6AD8" w:rsidRDefault="00000000">
      <w:pPr>
        <w:pStyle w:val="FirstParagraph"/>
      </w:pPr>
      <w:r>
        <w:t>This is the assigned reading for Week 5. It is organized around four practical questions a board member, investor, or manager actually has to answer: What frameworks help me think about this? What do real companies’ successes and failures teach us? How is performance actually measured? And does any of it pay off financially?</w:t>
      </w:r>
    </w:p>
    <w:p w14:paraId="39010E37" w14:textId="77777777" w:rsidR="007C6AD8" w:rsidRDefault="00000000">
      <w:pPr>
        <w:pStyle w:val="BodyText"/>
      </w:pPr>
      <w:r>
        <w:t>Two genuine debates run through the reader — Freeman’s stakeholder view versus Friedman’s shareholder-primacy view, and financial materiality versus double materiality — and Week 5 asks you to take a position on both, using the case evidence and measurement material below to support your argument rather than restating theory in the abstract.</w:t>
      </w:r>
    </w:p>
    <w:p w14:paraId="788B3456" w14:textId="77777777" w:rsidR="007C6AD8" w:rsidRDefault="00000000">
      <w:pPr>
        <w:pStyle w:val="BodyText"/>
      </w:pPr>
      <w:r>
        <w:t xml:space="preserve">Turkish-market examples throughout use three companies as running cases: </w:t>
      </w:r>
      <w:r>
        <w:rPr>
          <w:b/>
        </w:rPr>
        <w:t>Koç Holding</w:t>
      </w:r>
      <w:r>
        <w:t xml:space="preserve">, </w:t>
      </w:r>
      <w:r>
        <w:rPr>
          <w:b/>
        </w:rPr>
        <w:t>Sabancı Holding</w:t>
      </w:r>
      <w:r>
        <w:t xml:space="preserve">, and </w:t>
      </w:r>
      <w:r>
        <w:rPr>
          <w:b/>
        </w:rPr>
        <w:t>Turkish Airlines (THY)</w:t>
      </w:r>
      <w:r>
        <w:t>. Treat any specific rating, date, or figure attached to them as the best publicly available information at the time of writing, subject to revision.</w:t>
      </w:r>
    </w:p>
    <w:p w14:paraId="0F63B7B6" w14:textId="77777777" w:rsidR="007C6AD8" w:rsidRDefault="00000000">
      <w:pPr>
        <w:pStyle w:val="Heading2"/>
      </w:pPr>
      <w:bookmarkStart w:id="1" w:name="X34260d465582f7b220d87de95ce8e4b629fb5a6"/>
      <w:r>
        <w:t>Part I — Two Frameworks You Need, Stated Briefly</w:t>
      </w:r>
      <w:bookmarkEnd w:id="1"/>
    </w:p>
    <w:p w14:paraId="7F8B8D51" w14:textId="77777777" w:rsidR="007C6AD8" w:rsidRDefault="00000000">
      <w:pPr>
        <w:pStyle w:val="Heading3"/>
      </w:pPr>
      <w:bookmarkStart w:id="2" w:name="X01e819090e29eff8871663a420b742c2ceb6bea"/>
      <w:r>
        <w:t>1.1 Stakeholder Theory vs. Shareholder Primacy</w:t>
      </w:r>
      <w:bookmarkEnd w:id="2"/>
    </w:p>
    <w:p w14:paraId="27B95237" w14:textId="77777777" w:rsidR="007C6AD8" w:rsidRDefault="00000000">
      <w:pPr>
        <w:pStyle w:val="FirstParagraph"/>
      </w:pPr>
      <w:r>
        <w:t xml:space="preserve">Edward Freeman’s </w:t>
      </w:r>
      <w:r>
        <w:rPr>
          <w:i/>
        </w:rPr>
        <w:t>Strategic Management: A Stakeholder Approach</w:t>
      </w:r>
      <w:r>
        <w:t xml:space="preserve"> (1984) argues that a firm’s legitimate purpose is to create value for, and manage relationships among, everyone with a stake in it — shareholders, employees, customers, suppliers, communities, and regulators — because sustainable profit depends on maintaining those relationships. Milton Friedman’s 1970 </w:t>
      </w:r>
      <w:r>
        <w:rPr>
          <w:i/>
        </w:rPr>
        <w:t>New York Times Magazine</w:t>
      </w:r>
      <w:r>
        <w:t xml:space="preserve"> essay took the opposite position: a corporate manager who spends shareholders’ money on social causes is spending other people’s money without a mandate to do so, and the firm’s social responsibility begins and ends with obeying the law and competing honestly to maximize shareholder returns. Neither view has “won.” In practice, most boards in 2026 blend the two: they use stakeholder logic to manage reputational, regulatory, and operational risk (a supply-chain scandal or a data-privacy breach destroys shareholder value too), while using Friedman-style capital discipline to keep ESG initiatives tied to a business case rather than open-ended discretionary spending. The practical skill this reader is trying to build is not picking a side, but recognizing which frame a given board decision is actually operating under.</w:t>
      </w:r>
    </w:p>
    <w:p w14:paraId="0B93D024" w14:textId="77777777" w:rsidR="007C6AD8" w:rsidRDefault="00000000">
      <w:pPr>
        <w:pStyle w:val="Heading3"/>
      </w:pPr>
      <w:bookmarkStart w:id="3" w:name="materiality-financial-vs.-double"/>
      <w:r>
        <w:t>1.2 Materiality: Financial vs. Double</w:t>
      </w:r>
      <w:bookmarkEnd w:id="3"/>
    </w:p>
    <w:p w14:paraId="40A4A57B" w14:textId="77777777" w:rsidR="007C6AD8" w:rsidRDefault="00000000">
      <w:pPr>
        <w:pStyle w:val="FirstParagraph"/>
      </w:pPr>
      <w:r>
        <w:t xml:space="preserve">Not every environmental or social issue matters equally to every company, and treating them as if they did is what makes ESG reporting expensive and useless. </w:t>
      </w:r>
      <w:r>
        <w:rPr>
          <w:b/>
        </w:rPr>
        <w:t>Financial materiality</w:t>
      </w:r>
      <w:r>
        <w:t xml:space="preserve"> (the logic behind SASB and the U.S. approach) asks: which ESG factors could plausibly affect this company’s cash flows, cost of capital, or valuation? A logistics company’s fuel-price exposure and emissions-compliance costs are financially material; its impact on a river three countries away, absent regulation, may not be. </w:t>
      </w:r>
      <w:r>
        <w:rPr>
          <w:b/>
        </w:rPr>
        <w:t>Double materiality</w:t>
      </w:r>
      <w:r>
        <w:t xml:space="preserve"> (the logic behind the EU’s CSRD/ESRS regime) asks two questions at once: which issues affect the company financially, </w:t>
      </w:r>
      <w:r>
        <w:rPr>
          <w:i/>
        </w:rPr>
        <w:t>and</w:t>
      </w:r>
      <w:r>
        <w:t xml:space="preserve"> which issues does the company affect — regardless of whether that impact loops back to hit the balance sheet? A company can have low financial exposure to an issue (say, biodiversity loss near a supplier’s facility) while having a large real-world impact on it, and double materiality requires disclosing both. This single definitional choice — one question or two — is the fault line running through nearly every disagreement about what “good” ESG reporting looks like, and it will resurface directly in the measurement-methodology section below.</w:t>
      </w:r>
    </w:p>
    <w:p w14:paraId="5D7642FD" w14:textId="77777777" w:rsidR="008D05F7" w:rsidRDefault="008D05F7">
      <w:pPr>
        <w:pStyle w:val="Caption"/>
        <w:jc w:val="center"/>
      </w:pPr>
    </w:p>
    <w:p w14:paraId="78E3150C" w14:textId="77777777" w:rsidR="008D05F7" w:rsidRDefault="008D05F7">
      <w:pPr>
        <w:pStyle w:val="Caption"/>
        <w:jc w:val="center"/>
      </w:pPr>
    </w:p>
    <w:p w14:paraId="5EED0FBE" w14:textId="77777777" w:rsidR="008D05F7" w:rsidRDefault="008D05F7">
      <w:pPr>
        <w:pStyle w:val="Caption"/>
        <w:jc w:val="center"/>
      </w:pPr>
    </w:p>
    <w:p w14:paraId="5BD4FB52" w14:textId="77777777" w:rsidR="008D05F7" w:rsidRDefault="008D05F7">
      <w:pPr>
        <w:pStyle w:val="Caption"/>
        <w:jc w:val="center"/>
      </w:pPr>
    </w:p>
    <w:p w14:paraId="076D4690" w14:textId="4781DBAB" w:rsidR="007C6AD8" w:rsidRDefault="00000000">
      <w:pPr>
        <w:pStyle w:val="Caption"/>
        <w:jc w:val="center"/>
      </w:pPr>
      <w:r>
        <w:lastRenderedPageBreak/>
        <w:t>Figure 1 — Double Materiality: Financial Materiality × Impact Materiality</w:t>
      </w:r>
    </w:p>
    <w:p w14:paraId="0638C4DA" w14:textId="77777777" w:rsidR="007C6AD8" w:rsidRDefault="00000000">
      <w:pPr>
        <w:pStyle w:val="BodyText"/>
        <w:jc w:val="center"/>
      </w:pPr>
      <w:r>
        <w:rPr>
          <w:noProof/>
        </w:rPr>
        <w:drawing>
          <wp:inline distT="0" distB="0" distL="0" distR="0" wp14:anchorId="1AF15C3E" wp14:editId="386C7C6F">
            <wp:extent cx="5943600" cy="356616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figs/fig2_double_materiality.png"/>
                    <pic:cNvPicPr>
                      <a:picLocks noChangeAspect="1" noChangeArrowheads="1"/>
                    </pic:cNvPicPr>
                  </pic:nvPicPr>
                  <pic:blipFill>
                    <a:blip r:embed="rId7"/>
                    <a:stretch>
                      <a:fillRect/>
                    </a:stretch>
                  </pic:blipFill>
                  <pic:spPr bwMode="auto">
                    <a:xfrm>
                      <a:off x="0" y="0"/>
                      <a:ext cx="5943600" cy="3566160"/>
                    </a:xfrm>
                    <a:prstGeom prst="rect">
                      <a:avLst/>
                    </a:prstGeom>
                    <a:noFill/>
                    <a:ln w="9525">
                      <a:noFill/>
                      <a:headEnd/>
                      <a:tailEnd/>
                    </a:ln>
                  </pic:spPr>
                </pic:pic>
              </a:graphicData>
            </a:graphic>
          </wp:inline>
        </w:drawing>
      </w:r>
    </w:p>
    <w:p w14:paraId="4AE49E0F" w14:textId="77777777" w:rsidR="007C6AD8" w:rsidRDefault="00000000">
      <w:pPr>
        <w:pStyle w:val="Heading2"/>
      </w:pPr>
      <w:bookmarkStart w:id="4" w:name="X6725f0ef7dc53559a23feb91cf245f999a2fad8"/>
      <w:r>
        <w:t>Part II — Real-World Governance: What Companies Actually Did</w:t>
      </w:r>
      <w:bookmarkEnd w:id="4"/>
    </w:p>
    <w:p w14:paraId="3F908E80" w14:textId="77777777" w:rsidR="007C6AD8" w:rsidRDefault="00000000">
      <w:pPr>
        <w:pStyle w:val="FirstParagraph"/>
      </w:pPr>
      <w:r>
        <w:t>Frameworks describe intentions; the following cases show what happens when ESG and AI governance commitments meet real operating pressure — where they held, where they broke, and why boards are graded on the gap between what they said and what they did.</w:t>
      </w:r>
    </w:p>
    <w:p w14:paraId="27B7914E" w14:textId="77777777" w:rsidR="007C6AD8" w:rsidRDefault="00000000">
      <w:pPr>
        <w:pStyle w:val="CaseHeading"/>
      </w:pPr>
      <w:bookmarkStart w:id="5" w:name="Xe16c270e7a3f12f380d29b425c2df2a33755310"/>
      <w:r>
        <w:t>2.1 BP: From “Beyond Petroleum” to Deepwater Horizon</w:t>
      </w:r>
      <w:bookmarkEnd w:id="5"/>
    </w:p>
    <w:p w14:paraId="484E17C8" w14:textId="77777777" w:rsidR="007C6AD8" w:rsidRDefault="00000000">
      <w:pPr>
        <w:pStyle w:val="CaseBody"/>
      </w:pPr>
      <w:r>
        <w:t>BP spent the 2000s rebranding itself around a green sunburst logo and the slogan “Beyond Petroleum,” positioning itself as the oil major most serious about the energy transition. On April 20, 2010, the Deepwater Horizon rig exploded in the Gulf of Mexico, killing eleven workers and releasing roughly 4.9 million barrels of oil in the largest marine oil spill in U.S. history. The subsequent investigations found cost-cutting decisions on well design and safety testing that traded a small schedule saving for a catastrophic tail risk — precisely the kind of decision an empowered, informed board committee should have caught. BP’s cumulative costs — cleanup, fines, settlements, and compensation — are estimated at roughly $65 billion. The lesson for governance, not just PR: a sustainability brand built on messaging without matching operational risk oversight is a liability, not an asset, the moment something goes wrong.</w:t>
      </w:r>
    </w:p>
    <w:p w14:paraId="76F32134" w14:textId="77777777" w:rsidR="007C6AD8" w:rsidRDefault="00000000">
      <w:pPr>
        <w:pStyle w:val="CaseHeading"/>
      </w:pPr>
      <w:bookmarkStart w:id="6" w:name="X19adc43ba37b4853ae9ae88e8dd0d877272212e"/>
      <w:r>
        <w:t>2.2 Volkswagen: “Dieselgate” as a Board-Level Failure</w:t>
      </w:r>
      <w:bookmarkEnd w:id="6"/>
    </w:p>
    <w:p w14:paraId="684DC804" w14:textId="77777777" w:rsidR="007C6AD8" w:rsidRDefault="00000000">
      <w:pPr>
        <w:pStyle w:val="CaseBody"/>
      </w:pPr>
      <w:r>
        <w:t xml:space="preserve">In September 2015, U.S. regulators revealed that Volkswagen had installed “defeat device” software in roughly 11 million diesel vehicles worldwide, designed to detect emissions testing and temporarily reduce real-world pollution far below normal driving conditions. This was not a rogue engineer’s decision — internal investigations and prosecutions ultimately implicated senior engineering and compliance leadership. VW’s cumulative costs, </w:t>
      </w:r>
      <w:r>
        <w:lastRenderedPageBreak/>
        <w:t>including fines, buybacks, and settlements, have run to roughly $33 billion. The governance failure was structural: a supervisory board that received technical assurances it didn’t have the expertise or independence to challenge, and a corporate culture where meeting aggressive emissions targets took precedence over flagging that they were being met through fraud. Dieselgate remains the standard teaching case for why “compliance” and “board oversight” are not the same thing.</w:t>
      </w:r>
    </w:p>
    <w:p w14:paraId="0AFF32AC" w14:textId="77777777" w:rsidR="007C6AD8" w:rsidRDefault="00000000">
      <w:pPr>
        <w:pStyle w:val="CaseHeading"/>
      </w:pPr>
      <w:bookmarkStart w:id="7" w:name="danone-the-2021-ouster-of-emmanuel-faber"/>
      <w:r>
        <w:t>2.3 Danone: The 2021 Ouster of Emmanuel Faber</w:t>
      </w:r>
      <w:bookmarkEnd w:id="7"/>
    </w:p>
    <w:p w14:paraId="7B47B591" w14:textId="77777777" w:rsidR="007C6AD8" w:rsidRDefault="00000000">
      <w:pPr>
        <w:pStyle w:val="CaseBody"/>
      </w:pPr>
      <w:r>
        <w:t xml:space="preserve">Emmanuel Faber built Danone’s identity around “One Planet, One Health” and made it the first French listed company to adopt </w:t>
      </w:r>
      <w:r>
        <w:rPr>
          <w:i/>
        </w:rPr>
        <w:t>entreprise à mission</w:t>
      </w:r>
      <w:r>
        <w:t xml:space="preserve"> (mission-led company) legal status, formally embedding social and environmental purpose into governance alongside profit. In March 2021, activist investors (Bluebell Capital and others) forced Faber out as CEO and chairman, citing weak financial performance and share-price underperformance relative to peers like Nestlé and Unilever. The case is now the reference point for a hard question: does a purpose-driven governance structure survive contact with an activist investor once financial results disappoint, or does “purpose” only last as long as performance does? Danone’s board ultimately concluded the latter — a caution against assuming legal or charter-level purpose commitments are self-enforcing.</w:t>
      </w:r>
    </w:p>
    <w:p w14:paraId="090D67A7" w14:textId="77777777" w:rsidR="007C6AD8" w:rsidRDefault="00000000">
      <w:pPr>
        <w:pStyle w:val="CaseHeading"/>
      </w:pPr>
      <w:bookmarkStart w:id="8" w:name="Xa27b9ed7f2051d2030210aa334c03781c6d1d30"/>
      <w:r>
        <w:t>2.4 Unilever: The Sustainable Living Plan Under Paul Polman</w:t>
      </w:r>
      <w:bookmarkEnd w:id="8"/>
    </w:p>
    <w:p w14:paraId="624E1B67" w14:textId="77777777" w:rsidR="007C6AD8" w:rsidRDefault="00000000">
      <w:pPr>
        <w:pStyle w:val="CaseBody"/>
      </w:pPr>
      <w:r>
        <w:t>Paul Polman’s decade as Unilever CEO (2009–2019) is the most-cited example of sustainability integrated into core strategy rather than bolted on: Unilever ended quarterly earnings guidance to reduce short-term pressure, and the Sustainable Living Plan tied brand growth explicitly to social and environmental performance. “Sustainable living” brands did outgrow the rest of the portfolio for much of the decade. But the plan’s most ambitious 2020 targets — halving the environmental footprint of Unilever’s products — were largely missed, and Polman’s successors faced their own activist pressure (Terry Smith and others) over “sustainability virtue signaling” crowding out operational focus. The honest lesson: sustainability-linked growth can be real, but ambitious public targets set a bar that is easy to miss and hard to walk back from quietly.</w:t>
      </w:r>
    </w:p>
    <w:p w14:paraId="697E1EEC" w14:textId="77777777" w:rsidR="007C6AD8" w:rsidRDefault="00000000">
      <w:pPr>
        <w:pStyle w:val="CaseHeading"/>
      </w:pPr>
      <w:bookmarkStart w:id="9" w:name="Xa7eb86596974645f110c6e7610597a8e937b908"/>
      <w:r>
        <w:t>2.5 Tesla: What an ESG Rating Actually Measures</w:t>
      </w:r>
      <w:bookmarkEnd w:id="9"/>
    </w:p>
    <w:p w14:paraId="26754224" w14:textId="77777777" w:rsidR="007C6AD8" w:rsidRDefault="00000000">
      <w:pPr>
        <w:pStyle w:val="CaseBody"/>
      </w:pPr>
      <w:r>
        <w:t>In 2021, S&amp;P Dow Jones Indices removed Tesla from the S&amp;P 500 ESG Index, prompting Elon Musk to call ESG “a scam.” The removal wasn’t about Tesla’s core product (zero-tailpipe-emission vehicles obviously help decarbonization) — it reflected the index methodology’s weighting of governance factors (board independence, executive pay structure, workplace-safety and discrimination allegations at Tesla facilities) and Tesla’s low score on those dimensions relative to peers. The case is the clearest illustration that “ESG rating” is not a single number measuring “is this company good for the planet” — it is a multi-factor governance-and-risk score, and a company can be a genuine climate-transition leader on the E while scoring poorly on the G.</w:t>
      </w:r>
    </w:p>
    <w:p w14:paraId="7B7722F6" w14:textId="77777777" w:rsidR="007C6AD8" w:rsidRDefault="00000000">
      <w:pPr>
        <w:pStyle w:val="CaseHeading"/>
      </w:pPr>
      <w:bookmarkStart w:id="10" w:name="X9dacd137e075d9d8bca45e97f2a9157f51afee5"/>
      <w:r>
        <w:t>2.6 Microsoft: Building an Internal AI Governance Function Early</w:t>
      </w:r>
      <w:bookmarkEnd w:id="10"/>
    </w:p>
    <w:p w14:paraId="248526F0" w14:textId="77777777" w:rsidR="007C6AD8" w:rsidRDefault="00000000">
      <w:pPr>
        <w:pStyle w:val="CaseBody"/>
      </w:pPr>
      <w:r>
        <w:t xml:space="preserve">Microsoft created its Office of Responsible AI and an internal Aether (AI, Ethics, and Effects in Engineering and Research) committee years before AI governance became a board-level expectation industry-wide, embedding responsible-AI review into product development rather than treating it as a communications function. When generative AI moved from research to mass consumer product with the 2023 rollout of Copilot across the Microsoft product line, the existing governance infrastructure — escalation paths, red-teaming processes, published Responsible AI Standards — meant the company was retrofitting oversight to a known scale-up, not </w:t>
      </w:r>
      <w:r>
        <w:lastRenderedPageBreak/>
        <w:t>building it from zero under public pressure. The lesson for boards evaluating other companies’ AI governance claims: a governance structure that predates the crisis is worth more than one announced in response to it.</w:t>
      </w:r>
    </w:p>
    <w:p w14:paraId="23338A80" w14:textId="77777777" w:rsidR="007C6AD8" w:rsidRDefault="00000000">
      <w:pPr>
        <w:pStyle w:val="CaseHeading"/>
      </w:pPr>
      <w:bookmarkStart w:id="11" w:name="openai-the-november-2023-board-crisis"/>
      <w:r>
        <w:t>2.7 OpenAI: The November 2023 Board Crisis</w:t>
      </w:r>
      <w:bookmarkEnd w:id="11"/>
    </w:p>
    <w:p w14:paraId="0B5504A7" w14:textId="77777777" w:rsidR="007C6AD8" w:rsidRDefault="00000000">
      <w:pPr>
        <w:pStyle w:val="CaseBody"/>
      </w:pPr>
      <w:r>
        <w:t>OpenAI’s nonprofit-controlled, “capped-profit” governance structure was explicitly designed to keep commercial pressure from overriding its stated safety mission. In November 2023, that same board fired CEO Sam Altman with almost no external communication of specific cause; within five days, following threatened mass employee resignation and pressure from major investor Microsoft, Altman was reinstated and most of the board that removed him resigned. The episode is now a central case study in whether an unconventional governance structure built to prioritize a stated mission can actually survive contact with the commercial and talent-market realities of a company valued in the tens of billions of dollars — and whether “AI safety governance” that isn’t paired with clear, disclosed decision rights and communication protocols is more likely to produce chaos than safety.</w:t>
      </w:r>
    </w:p>
    <w:p w14:paraId="57A03E54" w14:textId="77777777" w:rsidR="007C6AD8" w:rsidRDefault="00000000">
      <w:pPr>
        <w:pStyle w:val="CaseHeading"/>
      </w:pPr>
      <w:bookmarkStart w:id="12" w:name="Xa6f3a621899dc8c3fa9e69161ce7145ccbd7489"/>
      <w:r>
        <w:t>2.8 Patagonia: “Earth Is Now Our Only Shareholder” (2022)</w:t>
      </w:r>
      <w:bookmarkEnd w:id="12"/>
    </w:p>
    <w:p w14:paraId="3983F72E" w14:textId="77777777" w:rsidR="007C6AD8" w:rsidRDefault="00000000">
      <w:pPr>
        <w:pStyle w:val="CaseBody"/>
      </w:pPr>
      <w:r>
        <w:t>In September 2022, founder Yvon Chouinard transferred 100% of Patagonia’s voting stock to a purpose trust and its nonvoting stock to a nonprofit, structuring the company so that all profit not reinvested in the business (roughly $100 million a year) flows to environmental causes in perpetuity. Unlike Danone’s mission-status experiment, this structure removed the activist-investor pressure point entirely by eliminating public shareholders — a governance solution only available to a founder-controlled private company, illustrating that ownership structure, not just stated values, determines how durable a purpose commitment actually is.</w:t>
      </w:r>
    </w:p>
    <w:p w14:paraId="16AE7150" w14:textId="77777777" w:rsidR="007C6AD8" w:rsidRDefault="00000000">
      <w:pPr>
        <w:pStyle w:val="CaseHeading"/>
      </w:pPr>
      <w:bookmarkStart w:id="13" w:name="X920f9b7ea93aec13a001430f13c39dd5206d50a"/>
      <w:r>
        <w:t>2.9 IKEA: Circular-Economy Commitments Tested at Scale</w:t>
      </w:r>
      <w:bookmarkEnd w:id="13"/>
    </w:p>
    <w:p w14:paraId="3D3DB61F" w14:textId="77777777" w:rsidR="007C6AD8" w:rsidRDefault="00000000">
      <w:pPr>
        <w:pStyle w:val="CaseBody"/>
      </w:pPr>
      <w:r>
        <w:t>IKEA’s “buy back and resell” furniture take-back program and its stated ambition to become fully circular by 2030 are frequently cited as evidence that sustainability can be built into a mass-market retail model rather than positioned as a premium add-on. The harder test is scale: IKEA’s own reporting acknowledges that most of its furniture is still sold, used, and disposed of in the traditional linear model, and that circular revenue remains a small fraction of total sales. The case is useful precisely because it is not a scandal — it shows the ordinary gap between a genuinely good-faith sustainability commitment and the operational difficulty of retrofitting a decades-old supply chain and consumer behavior around it.</w:t>
      </w:r>
    </w:p>
    <w:p w14:paraId="0380959D" w14:textId="77777777" w:rsidR="007C6AD8" w:rsidRDefault="00000000">
      <w:pPr>
        <w:pStyle w:val="CaseHeading"/>
      </w:pPr>
      <w:bookmarkStart w:id="14" w:name="Xc974a4c8e52ab9928c2fb11ee7dbeb35fc5a1cd"/>
      <w:r>
        <w:t>2.10 Shell: Climate Litigation as a New Governance Risk</w:t>
      </w:r>
      <w:bookmarkEnd w:id="14"/>
    </w:p>
    <w:p w14:paraId="76F84D0C" w14:textId="77777777" w:rsidR="007C6AD8" w:rsidRDefault="00000000">
      <w:pPr>
        <w:pStyle w:val="CaseBody"/>
      </w:pPr>
      <w:r>
        <w:t xml:space="preserve">In 2021, a Dutch court (in </w:t>
      </w:r>
      <w:r>
        <w:rPr>
          <w:i/>
        </w:rPr>
        <w:t>Milieudefensie et al. v. Royal Dutch Shell</w:t>
      </w:r>
      <w:r>
        <w:t>) ordered Shell to cut its group-wide carbon emissions by 45% by 2030 relative to 2019 levels — the first time a company was legally compelled by a court, rather than a regulator, to align its climate targets with the Paris Agreement. An appeals court in 2024 overturned the specific 45% mandate on technical grounds while still affirming Shell has a legal duty of care on emissions, leaving the precedent alive in a narrower form. For boards, the case establishes that climate litigation is now a distinct risk category alongside regulatory and reputational risk — one where courts, not just regulators or investors, can force a change in strategy.</w:t>
      </w:r>
    </w:p>
    <w:p w14:paraId="2EB0BB39" w14:textId="77777777" w:rsidR="007C6AD8" w:rsidRDefault="00000000">
      <w:pPr>
        <w:pStyle w:val="CaseHeading"/>
      </w:pPr>
      <w:bookmarkStart w:id="15" w:name="Xf544cff2951697ff3483aee4966ecf93e08e634"/>
      <w:r>
        <w:lastRenderedPageBreak/>
        <w:t>2.11 Nestlé: Child-Labor and Cocoa Supply-Chain Litigation</w:t>
      </w:r>
      <w:bookmarkEnd w:id="15"/>
    </w:p>
    <w:p w14:paraId="4D0B48E8" w14:textId="77777777" w:rsidR="007C6AD8" w:rsidRDefault="00000000">
      <w:pPr>
        <w:pStyle w:val="CaseBody"/>
      </w:pPr>
      <w:r>
        <w:t>Nestlé has faced a string of U.S. lawsuits (including a case that reached the U.S. Supreme Court in 2021 on jurisdictional grounds) alleging complicity in child and forced labor in West African cocoa supply chains, despite the company’s long-running, well-funded supplier-certification and child-labor-monitoring programs. The case illustrates a distinct governance problem from BP or VW: this is not a failure to have a program, but a question of whether a multi-tier, multi-country supply chain can ever be verified deeply enough for a public sustainability claim to be defensible in court — a live issue for any company (including Turkish exporters) sourcing from smallholder agricultural supply chains.</w:t>
      </w:r>
    </w:p>
    <w:p w14:paraId="44F8C5E5" w14:textId="77777777" w:rsidR="007C6AD8" w:rsidRDefault="00000000">
      <w:pPr>
        <w:pStyle w:val="CaseHeading"/>
      </w:pPr>
      <w:bookmarkStart w:id="16" w:name="X292907c6465696edc6a4e8696a6208192308f18"/>
      <w:r>
        <w:t>2.12 Google/DeepMind: The 2019 AI Ethics Board Dissolution</w:t>
      </w:r>
      <w:bookmarkEnd w:id="16"/>
    </w:p>
    <w:p w14:paraId="16CCC553" w14:textId="77777777" w:rsidR="007C6AD8" w:rsidRDefault="00000000">
      <w:pPr>
        <w:pStyle w:val="CaseBody"/>
      </w:pPr>
      <w:r>
        <w:t>In 2019, Google announced and then dissolved its Advanced Technology External Advisory Council (ATEAC) within about one week, after employee and public backlash over board member selections. The episode is frequently cited as a cautionary example in AI governance: an external advisory board announced for its symbolic and reputational value, without the internal work of aligning composition and mandate with stakeholders first, can generate more governance risk than it manages. It is a useful contrast to Microsoft’s internal, product-embedded model above.</w:t>
      </w:r>
    </w:p>
    <w:p w14:paraId="48BAC08B" w14:textId="77777777" w:rsidR="007C6AD8" w:rsidRDefault="00000000">
      <w:pPr>
        <w:pStyle w:val="CaseHeading"/>
      </w:pPr>
      <w:bookmarkStart w:id="17" w:name="X75d03deb5e81722aa150db36723cedd3a9602b1"/>
      <w:r>
        <w:t>2.13 IBM: Advocating Precision Regulation While Building Internal Guardrails</w:t>
      </w:r>
      <w:bookmarkEnd w:id="17"/>
    </w:p>
    <w:p w14:paraId="3F796199" w14:textId="77777777" w:rsidR="007C6AD8" w:rsidRDefault="00000000">
      <w:pPr>
        <w:pStyle w:val="CaseBody"/>
      </w:pPr>
      <w:r>
        <w:t>IBM has combined an internal AI Ethics Board with public advocacy for “precision regulation” — rules calibrated to a system’s actual risk and use case rather than blanket restrictions on the technology itself, a position broadly consistent with the EU AI Act’s risk-tiered structure discussed below. IBM also exited the general-purpose facial recognition business in 2020 over bias and surveillance-misuse concerns, ahead of most peers and ahead of binding regulation on the point — an example of a board-level line drawn proactively rather than in response to enforcement.</w:t>
      </w:r>
    </w:p>
    <w:p w14:paraId="2EA200E7" w14:textId="77777777" w:rsidR="007C6AD8" w:rsidRDefault="00000000">
      <w:pPr>
        <w:pStyle w:val="CaseHeading"/>
      </w:pPr>
      <w:bookmarkStart w:id="18" w:name="Xa14e49f457e6cd02b5ed2bb42cab3a37f4a18e2"/>
      <w:r>
        <w:t>2.14 Amazon: The Scrapped AI Recruiting Tool (2014–2017)</w:t>
      </w:r>
      <w:bookmarkEnd w:id="18"/>
    </w:p>
    <w:p w14:paraId="18095AFD" w14:textId="77777777" w:rsidR="007C6AD8" w:rsidRDefault="00000000">
      <w:pPr>
        <w:pStyle w:val="CaseBody"/>
      </w:pPr>
      <w:r>
        <w:t>Amazon built and then quietly scrapped an internal AI-based resume-screening tool after discovering it had taught itself to downgrade resumes containing the word “women’s” (as in “women’s chess club captain”) and to penalize graduates of women’s colleges, because it had been trained on a decade of historical hiring data that itself reflected the tech industry’s existing gender skew. Unlike Amazon’s public cloud AI-ethics initiatives, this tool was never deployed to actual hiring decisions — the company’s own internal review caught the bias before rollout. The case is the standard teaching example of a specific, general governance principle: an AI system trained on biased historical data will reproduce and can amplify that bias, and the only reliable catch is a review process built to look for it before deployment, not after a complaint.</w:t>
      </w:r>
    </w:p>
    <w:p w14:paraId="39F450CF" w14:textId="77777777" w:rsidR="007C6AD8" w:rsidRDefault="00000000">
      <w:pPr>
        <w:pStyle w:val="Heading2"/>
      </w:pPr>
      <w:bookmarkStart w:id="19" w:name="X1bf797e124262dbbda7e9a404a8a9b1a63a6a14"/>
      <w:r>
        <w:t>Part III — How ESG and AI-Governance Performance Is Actually Measured</w:t>
      </w:r>
      <w:bookmarkEnd w:id="19"/>
    </w:p>
    <w:p w14:paraId="6CCCF82D" w14:textId="77777777" w:rsidR="007C6AD8" w:rsidRDefault="00000000">
      <w:pPr>
        <w:pStyle w:val="FirstParagraph"/>
      </w:pPr>
      <w:r>
        <w:t xml:space="preserve">Case vignettes show what “good” and “bad” governance look like qualitatively. Investors, regulators, and boards also need a repeatable way to </w:t>
      </w:r>
      <w:r>
        <w:rPr>
          <w:i/>
        </w:rPr>
        <w:t>score</w:t>
      </w:r>
      <w:r>
        <w:t xml:space="preserve"> it — and this is where a large share of real-world ESG confusion comes from, because the major rating systems do not measure the same thing, do not use the same inputs, and frequently disagree sharply about the same company.</w:t>
      </w:r>
    </w:p>
    <w:p w14:paraId="0E59D488" w14:textId="77777777" w:rsidR="007C6AD8" w:rsidRDefault="00000000">
      <w:pPr>
        <w:pStyle w:val="Heading3"/>
      </w:pPr>
      <w:bookmarkStart w:id="20" w:name="Xed3f4a7743770f49bc9e87db935a88180f1bcb1"/>
      <w:r>
        <w:lastRenderedPageBreak/>
        <w:t>3.1 The Disclosure Standards Layer: What Companies Report</w:t>
      </w:r>
      <w:bookmarkEnd w:id="20"/>
    </w:p>
    <w:p w14:paraId="273B1463" w14:textId="77777777" w:rsidR="007C6AD8" w:rsidRDefault="00000000">
      <w:pPr>
        <w:pStyle w:val="FirstParagraph"/>
      </w:pPr>
      <w:r>
        <w:t>Before any rating agency can score a company, the company has to disclose data, and four frameworks dominate what gets reported globally:</w:t>
      </w:r>
    </w:p>
    <w:p w14:paraId="2089EF89" w14:textId="77777777" w:rsidR="007C6AD8" w:rsidRDefault="00000000">
      <w:pPr>
        <w:pStyle w:val="Compact"/>
        <w:numPr>
          <w:ilvl w:val="0"/>
          <w:numId w:val="3"/>
        </w:numPr>
      </w:pPr>
      <w:r>
        <w:rPr>
          <w:b/>
        </w:rPr>
        <w:t>GRI (Global Reporting Initiative)</w:t>
      </w:r>
      <w:r>
        <w:t xml:space="preserve"> — the oldest and most widely used voluntary standard, organized around stakeholder impact (closer to the “double materiality” logic) and used as the base layer for sustainability reporting in over 100 countries.</w:t>
      </w:r>
    </w:p>
    <w:p w14:paraId="66B71EE1" w14:textId="77777777" w:rsidR="007C6AD8" w:rsidRDefault="00000000">
      <w:pPr>
        <w:pStyle w:val="Compact"/>
        <w:numPr>
          <w:ilvl w:val="0"/>
          <w:numId w:val="3"/>
        </w:numPr>
      </w:pPr>
      <w:r>
        <w:rPr>
          <w:b/>
        </w:rPr>
        <w:t>SASB (Sustainability Accounting Standards Board)</w:t>
      </w:r>
      <w:r>
        <w:t xml:space="preserve">, now part of the IFRS Foundation’s ISSB — industry-specific standards built strictly around </w:t>
      </w:r>
      <w:r>
        <w:rPr>
          <w:i/>
        </w:rPr>
        <w:t>financial</w:t>
      </w:r>
      <w:r>
        <w:t xml:space="preserve"> materiality, designed for investors rather than the general public.</w:t>
      </w:r>
    </w:p>
    <w:p w14:paraId="1A287BDA" w14:textId="77777777" w:rsidR="007C6AD8" w:rsidRDefault="00000000">
      <w:pPr>
        <w:pStyle w:val="Compact"/>
        <w:numPr>
          <w:ilvl w:val="0"/>
          <w:numId w:val="3"/>
        </w:numPr>
      </w:pPr>
      <w:r>
        <w:rPr>
          <w:b/>
        </w:rPr>
        <w:t>TCFD (Task Force on Climate-related Financial Disclosures)</w:t>
      </w:r>
      <w:r>
        <w:t xml:space="preserve"> — a four-pillar framework (governance, strategy, risk management, metrics and targets) for climate-specific financial risk disclosure, now folded into ISSB’s IFRS S2 standard.</w:t>
      </w:r>
    </w:p>
    <w:p w14:paraId="1E241311" w14:textId="77777777" w:rsidR="007C6AD8" w:rsidRDefault="00000000">
      <w:pPr>
        <w:pStyle w:val="Compact"/>
        <w:numPr>
          <w:ilvl w:val="0"/>
          <w:numId w:val="3"/>
        </w:numPr>
      </w:pPr>
      <w:r>
        <w:rPr>
          <w:b/>
        </w:rPr>
        <w:t>CSRD/ESRS (EU Corporate Sustainability Reporting Directive / European Sustainability Reporting Standards)</w:t>
      </w:r>
      <w:r>
        <w:t xml:space="preserve"> — the most demanding regime globally, legally mandating double-materiality disclosure, third-party assurance, and machine-readable (digital) tagging for in-scope companies, with phased rollout continuing through 2026–2028 and a 2025 “Omnibus” package narrowing scope for some smaller firms in response to competitiveness concerns.</w:t>
      </w:r>
    </w:p>
    <w:p w14:paraId="68FC47D8" w14:textId="77777777" w:rsidR="007C6AD8" w:rsidRDefault="00000000">
      <w:pPr>
        <w:pStyle w:val="Caption"/>
        <w:jc w:val="center"/>
      </w:pPr>
      <w:r>
        <w:t>Figure 2 — ESG Reporting Standards Landscape: GRI / SASB / TCFD / CSRD at a Glance</w:t>
      </w:r>
    </w:p>
    <w:p w14:paraId="315D0D0D" w14:textId="77777777" w:rsidR="007C6AD8" w:rsidRDefault="00000000">
      <w:pPr>
        <w:pStyle w:val="BodyText"/>
        <w:jc w:val="center"/>
      </w:pPr>
      <w:r>
        <w:rPr>
          <w:noProof/>
        </w:rPr>
        <w:drawing>
          <wp:inline distT="0" distB="0" distL="0" distR="0" wp14:anchorId="34EE73DC" wp14:editId="3ADF87FA">
            <wp:extent cx="5943600" cy="3793172"/>
            <wp:effectExtent l="0" t="0" r="0" b="0"/>
            <wp:docPr id="382253087" name="Picture"/>
            <wp:cNvGraphicFramePr/>
            <a:graphic xmlns:a="http://schemas.openxmlformats.org/drawingml/2006/main">
              <a:graphicData uri="http://schemas.openxmlformats.org/drawingml/2006/picture">
                <pic:pic xmlns:pic="http://schemas.openxmlformats.org/drawingml/2006/picture">
                  <pic:nvPicPr>
                    <pic:cNvPr id="0" name="Picture" descr="figs/fig1_reporting_standards.png"/>
                    <pic:cNvPicPr>
                      <a:picLocks noChangeAspect="1" noChangeArrowheads="1"/>
                    </pic:cNvPicPr>
                  </pic:nvPicPr>
                  <pic:blipFill>
                    <a:blip r:embed="rId8"/>
                    <a:stretch>
                      <a:fillRect/>
                    </a:stretch>
                  </pic:blipFill>
                  <pic:spPr bwMode="auto">
                    <a:xfrm>
                      <a:off x="0" y="0"/>
                      <a:ext cx="5943600" cy="3793172"/>
                    </a:xfrm>
                    <a:prstGeom prst="rect">
                      <a:avLst/>
                    </a:prstGeom>
                    <a:noFill/>
                    <a:ln w="9525">
                      <a:noFill/>
                      <a:headEnd/>
                      <a:tailEnd/>
                    </a:ln>
                  </pic:spPr>
                </pic:pic>
              </a:graphicData>
            </a:graphic>
          </wp:inline>
        </w:drawing>
      </w:r>
    </w:p>
    <w:p w14:paraId="22D79381" w14:textId="77777777" w:rsidR="008D05F7" w:rsidRDefault="008D05F7">
      <w:pPr>
        <w:pStyle w:val="Caption"/>
        <w:jc w:val="center"/>
      </w:pPr>
    </w:p>
    <w:p w14:paraId="68AA57C6" w14:textId="77777777" w:rsidR="008D05F7" w:rsidRDefault="008D05F7">
      <w:pPr>
        <w:pStyle w:val="Caption"/>
        <w:jc w:val="center"/>
      </w:pPr>
    </w:p>
    <w:p w14:paraId="2408E395" w14:textId="77777777" w:rsidR="008D05F7" w:rsidRDefault="008D05F7">
      <w:pPr>
        <w:pStyle w:val="Caption"/>
        <w:jc w:val="center"/>
      </w:pPr>
    </w:p>
    <w:p w14:paraId="59CA6E8F" w14:textId="69F62C28" w:rsidR="007C6AD8" w:rsidRDefault="00000000">
      <w:pPr>
        <w:pStyle w:val="Caption"/>
        <w:jc w:val="center"/>
      </w:pPr>
      <w:r>
        <w:lastRenderedPageBreak/>
        <w:t>3 — ESG Disclosure-Standard Adoption Across Jurisdictions, 2026 (illustrative)</w:t>
      </w:r>
    </w:p>
    <w:p w14:paraId="46003EB0" w14:textId="77777777" w:rsidR="007C6AD8" w:rsidRDefault="00000000">
      <w:pPr>
        <w:pStyle w:val="BodyText"/>
        <w:jc w:val="center"/>
      </w:pPr>
      <w:r>
        <w:rPr>
          <w:noProof/>
        </w:rPr>
        <w:drawing>
          <wp:inline distT="0" distB="0" distL="0" distR="0" wp14:anchorId="2C705F7B" wp14:editId="6E0BCD78">
            <wp:extent cx="5943600" cy="3840479"/>
            <wp:effectExtent l="0" t="0" r="0" b="0"/>
            <wp:docPr id="524424596" name="Picture"/>
            <wp:cNvGraphicFramePr/>
            <a:graphic xmlns:a="http://schemas.openxmlformats.org/drawingml/2006/main">
              <a:graphicData uri="http://schemas.openxmlformats.org/drawingml/2006/picture">
                <pic:pic xmlns:pic="http://schemas.openxmlformats.org/drawingml/2006/picture">
                  <pic:nvPicPr>
                    <pic:cNvPr id="0" name="Picture" descr="figs/fig3_disclosure_adoption.png"/>
                    <pic:cNvPicPr>
                      <a:picLocks noChangeAspect="1" noChangeArrowheads="1"/>
                    </pic:cNvPicPr>
                  </pic:nvPicPr>
                  <pic:blipFill>
                    <a:blip r:embed="rId9"/>
                    <a:stretch>
                      <a:fillRect/>
                    </a:stretch>
                  </pic:blipFill>
                  <pic:spPr bwMode="auto">
                    <a:xfrm>
                      <a:off x="0" y="0"/>
                      <a:ext cx="5943600" cy="3840479"/>
                    </a:xfrm>
                    <a:prstGeom prst="rect">
                      <a:avLst/>
                    </a:prstGeom>
                    <a:noFill/>
                    <a:ln w="9525">
                      <a:noFill/>
                      <a:headEnd/>
                      <a:tailEnd/>
                    </a:ln>
                  </pic:spPr>
                </pic:pic>
              </a:graphicData>
            </a:graphic>
          </wp:inline>
        </w:drawing>
      </w:r>
    </w:p>
    <w:p w14:paraId="1271BE81" w14:textId="77777777" w:rsidR="007C6AD8" w:rsidRDefault="00000000">
      <w:pPr>
        <w:pStyle w:val="Heading3"/>
      </w:pPr>
      <w:bookmarkStart w:id="21" w:name="X67a2c8224a2eaa1d398b495810887c6af0f26f1"/>
      <w:r>
        <w:t>3.2 The Rating Layer: MSCI, Sustainalytics, and Why They Disagree</w:t>
      </w:r>
      <w:bookmarkEnd w:id="21"/>
    </w:p>
    <w:p w14:paraId="30A6292A" w14:textId="77777777" w:rsidR="007C6AD8" w:rsidRDefault="00000000">
      <w:pPr>
        <w:pStyle w:val="FirstParagraph"/>
      </w:pPr>
      <w:r>
        <w:t>Once disclosed (and in practice, also using estimated or modeled data where disclosure is incomplete), third-party raters convert ESG information into scores investors can act on. The two most widely used in institutional investing work in genuinely different ways:</w:t>
      </w:r>
    </w:p>
    <w:p w14:paraId="718602FA" w14:textId="77777777" w:rsidR="007C6AD8" w:rsidRDefault="00000000">
      <w:pPr>
        <w:pStyle w:val="BodyText"/>
      </w:pPr>
      <w:r>
        <w:rPr>
          <w:b/>
        </w:rPr>
        <w:t>MSCI ESG Ratings</w:t>
      </w:r>
      <w:r>
        <w:t xml:space="preserve"> score companies AAA to CCC based on exposure to industry-specific ESG risks and how well-managed that exposure is relative to peers — it is explicitly a </w:t>
      </w:r>
      <w:r>
        <w:rPr>
          <w:i/>
        </w:rPr>
        <w:t>relative, risk-adjusted</w:t>
      </w:r>
      <w:r>
        <w:t xml:space="preserve"> score, not an absolute measure of “how sustainable is this company.”</w:t>
      </w:r>
    </w:p>
    <w:p w14:paraId="3D2D1F0A" w14:textId="77777777" w:rsidR="007C6AD8" w:rsidRDefault="00000000">
      <w:pPr>
        <w:pStyle w:val="BodyText"/>
      </w:pPr>
      <w:r>
        <w:rPr>
          <w:b/>
        </w:rPr>
        <w:t>Sustainalytics ESG Risk Ratings</w:t>
      </w:r>
      <w:r>
        <w:t xml:space="preserve"> measure unmanaged ESG risk in absolute terms (a lower score is better), decomposing risk into an “exposure” component and a “management” component, and are widely used for negative-screening and risk-based portfolio construction rather than pure best-in-class selection.</w:t>
      </w:r>
    </w:p>
    <w:p w14:paraId="070CA3F8" w14:textId="77777777" w:rsidR="007C6AD8" w:rsidRDefault="00000000">
      <w:pPr>
        <w:pStyle w:val="BodyText"/>
      </w:pPr>
      <w:r>
        <w:t xml:space="preserve">These are different questions asked of the same company, and a well-documented academic finding (associated with MIT Sloan researchers Berg, Kölbel, and Rigobon, and echoed across multiple studies) is that the correlation between major ESG raters’ scores for the same company is far lower than equivalent correlations between credit ratings agencies — divergence traceable to differences in scope (what counts as “ESG”), measurement (which specific metrics are used for a given issue), and weight (how much each category counts toward the final score). Practically, this means a single ESG score should never be treated as ground truth; a serious analyst checks at least two raters and reads </w:t>
      </w:r>
      <w:r>
        <w:rPr>
          <w:i/>
        </w:rPr>
        <w:t>why</w:t>
      </w:r>
      <w:r>
        <w:t xml:space="preserve"> they diverge before drawing a conclusion about a company.</w:t>
      </w:r>
    </w:p>
    <w:p w14:paraId="0AFB12B3" w14:textId="77777777" w:rsidR="007C6AD8" w:rsidRDefault="00000000">
      <w:pPr>
        <w:pStyle w:val="Heading3"/>
      </w:pPr>
      <w:bookmarkStart w:id="22" w:name="Xaea80c670a2fc7a4fc983cf2975b514ca95975c"/>
      <w:r>
        <w:lastRenderedPageBreak/>
        <w:t>3.3 A Practical Scorecard Method (Not a Formula)</w:t>
      </w:r>
      <w:bookmarkEnd w:id="22"/>
    </w:p>
    <w:p w14:paraId="5D0919F1" w14:textId="77777777" w:rsidR="007C6AD8" w:rsidRDefault="00000000">
      <w:pPr>
        <w:pStyle w:val="FirstParagraph"/>
      </w:pPr>
      <w:r>
        <w:t>Students and working analysts rarely have the data infrastructure of MSCI or Sustainalytics. A usable, simplified approach for course purposes and for a first-pass company assessment:</w:t>
      </w:r>
    </w:p>
    <w:p w14:paraId="4135263E" w14:textId="77777777" w:rsidR="007C6AD8" w:rsidRDefault="00000000">
      <w:pPr>
        <w:pStyle w:val="Compact"/>
        <w:numPr>
          <w:ilvl w:val="0"/>
          <w:numId w:val="4"/>
        </w:numPr>
      </w:pPr>
      <w:r>
        <w:rPr>
          <w:b/>
        </w:rPr>
        <w:t>Identify the 3–5 financially material ESG issues for the company’s specific industry</w:t>
      </w:r>
      <w:r>
        <w:t xml:space="preserve"> (use SASB’s materiality map or a comparable industry framework as a starting point — a bank’s material issues are not an airline’s).</w:t>
      </w:r>
    </w:p>
    <w:p w14:paraId="2F08DD62" w14:textId="77777777" w:rsidR="007C6AD8" w:rsidRDefault="00000000">
      <w:pPr>
        <w:pStyle w:val="Compact"/>
        <w:numPr>
          <w:ilvl w:val="0"/>
          <w:numId w:val="4"/>
        </w:numPr>
      </w:pPr>
      <w:r>
        <w:rPr>
          <w:b/>
        </w:rPr>
        <w:t>Score each issue 1–5 on two axes</w:t>
      </w:r>
      <w:r>
        <w:t>: financial materiality (how much could this plausibly move earnings, cost of capital, or valuation) and impact materiality (how much does the company affect this issue in the real world, independent of financial consequence).</w:t>
      </w:r>
    </w:p>
    <w:p w14:paraId="0221CFAC" w14:textId="77777777" w:rsidR="007C6AD8" w:rsidRDefault="00000000">
      <w:pPr>
        <w:pStyle w:val="Compact"/>
        <w:numPr>
          <w:ilvl w:val="0"/>
          <w:numId w:val="4"/>
        </w:numPr>
      </w:pPr>
      <w:r>
        <w:rPr>
          <w:b/>
        </w:rPr>
        <w:t>Weight structural governance quality separately</w:t>
      </w:r>
      <w:r>
        <w:t xml:space="preserve"> — board independence and expertise, whether oversight of the material issues is assigned to a specific committee, disclosure completeness and assurance status — since governance is the mechanism that determines whether the other scores are durable or cosmetic.</w:t>
      </w:r>
    </w:p>
    <w:p w14:paraId="6628AF81" w14:textId="77777777" w:rsidR="007C6AD8" w:rsidRDefault="00000000">
      <w:pPr>
        <w:pStyle w:val="Compact"/>
        <w:numPr>
          <w:ilvl w:val="0"/>
          <w:numId w:val="4"/>
        </w:numPr>
      </w:pPr>
      <w:r>
        <w:rPr>
          <w:b/>
        </w:rPr>
        <w:t>Cross-check against at least one external rating and one controversy/incident log</w:t>
      </w:r>
      <w:r>
        <w:t xml:space="preserve"> (litigation, regulatory enforcement, credible NGO reporting) — a strong self-assessed score contradicted by a live controversy should be treated as a red flag on governance, not resolved by discounting the controversy.</w:t>
      </w:r>
    </w:p>
    <w:p w14:paraId="41E1E6A5" w14:textId="77777777" w:rsidR="007C6AD8" w:rsidRDefault="00000000">
      <w:pPr>
        <w:pStyle w:val="Compact"/>
        <w:numPr>
          <w:ilvl w:val="0"/>
          <w:numId w:val="4"/>
        </w:numPr>
      </w:pPr>
      <w:r>
        <w:rPr>
          <w:b/>
        </w:rPr>
        <w:t>Write the score as a short memo, not just a number</w:t>
      </w:r>
      <w:r>
        <w:t xml:space="preserve"> — the reasoning is the deliverable; a single aggregated score without the underlying judgment calls is exactly the opacity problem that makes rating-agency divergence hard to interrogate in the first place.</w:t>
      </w:r>
    </w:p>
    <w:p w14:paraId="125A1F50" w14:textId="77777777" w:rsidR="007C6AD8" w:rsidRDefault="00000000">
      <w:pPr>
        <w:pStyle w:val="FirstParagraph"/>
      </w:pPr>
      <w:r>
        <w:t>This method generalizes directly to AI governance: identify the material AI use cases (not “does the company use AI,” but which specific deployed systems create risk), score exposure and management quality for each, weight structural oversight (is there a named committee or executive with authority and technical capacity), and cross-check against known incidents.</w:t>
      </w:r>
    </w:p>
    <w:p w14:paraId="266FEB99" w14:textId="77777777" w:rsidR="007C6AD8" w:rsidRDefault="00000000">
      <w:pPr>
        <w:pStyle w:val="Heading3"/>
      </w:pPr>
      <w:bookmarkStart w:id="23" w:name="X9acb849d5286d46a4fc334a8eaf941386840171"/>
      <w:r>
        <w:t>3.4 AI Governance Measurement: NIST AI RMF and ISO/IEC 42001</w:t>
      </w:r>
      <w:bookmarkEnd w:id="23"/>
    </w:p>
    <w:p w14:paraId="2EAE1484" w14:textId="77777777" w:rsidR="007C6AD8" w:rsidRDefault="00000000">
      <w:pPr>
        <w:pStyle w:val="FirstParagraph"/>
      </w:pPr>
      <w:r>
        <w:t xml:space="preserve">Two frameworks are becoming the AI-governance equivalent of GRI/SASB for ESG. The </w:t>
      </w:r>
      <w:r>
        <w:rPr>
          <w:b/>
        </w:rPr>
        <w:t>NIST AI Risk Management Framework</w:t>
      </w:r>
      <w:r>
        <w:t xml:space="preserve"> (voluntary, U.S.-originated but globally referenced) organizes AI governance into four functions — Govern, Map, Measure, Manage — providing a common vocabulary for what “AI governance maturity” even means. </w:t>
      </w:r>
      <w:r>
        <w:rPr>
          <w:b/>
        </w:rPr>
        <w:t>ISO/IEC 42001</w:t>
      </w:r>
      <w:r>
        <w:t>, published in December 2023, is the first certifiable AI management system standard, giving companies (and their auditors) a structure analogous to ISO 9001 for quality or ISO 27001 for information security — meaning, for the first time, external, auditable certification of AI governance processes is available rather than only self-reported claims.</w:t>
      </w:r>
    </w:p>
    <w:p w14:paraId="6755CDD0" w14:textId="77777777" w:rsidR="007C6AD8" w:rsidRDefault="00000000">
      <w:pPr>
        <w:pStyle w:val="Heading2"/>
      </w:pPr>
      <w:bookmarkStart w:id="24" w:name="Xfb4ed9720dc62ca740290066fa3b587c713d6f8"/>
      <w:r>
        <w:t>Part IV — Does ESG and AI Governance Actually Create Value?</w:t>
      </w:r>
      <w:bookmarkEnd w:id="24"/>
    </w:p>
    <w:p w14:paraId="61C597CD" w14:textId="77777777" w:rsidR="007C6AD8" w:rsidRDefault="00000000">
      <w:pPr>
        <w:pStyle w:val="Heading3"/>
      </w:pPr>
      <w:bookmarkStart w:id="25" w:name="X17f92bd01d60375b43ad388934983562c69130c"/>
      <w:r>
        <w:t>4.1 The Honest Answer: Mixed, Context-Dependent Evidence</w:t>
      </w:r>
      <w:bookmarkEnd w:id="25"/>
    </w:p>
    <w:p w14:paraId="745D7B3F" w14:textId="77777777" w:rsidR="007C6AD8" w:rsidRDefault="00000000">
      <w:pPr>
        <w:pStyle w:val="FirstParagraph"/>
      </w:pPr>
      <w:r>
        <w:t xml:space="preserve">The most-cited academic synthesis on the ESG–financial performance question, Friede, Busch and Bassen’s 2015 aggregation of over 2,000 empirical studies, found a positive relationship between ESG factors and corporate financial performance in roughly 90% of studies reviewed, with the relationship strongest and most consistent for governance factors specifically and weakest and least consistent for isolated environmental or social metrics in short time horizons. This is real evidence of a positive average relationship — but “positive on average across 2,000 heterogeneous studies” is not the same as “ESG spending reliably pays off for any given company,” and a fair reading of the literature has to hold both facts at once. Subsequent studies have found the relationship is sensitive to industry, time period, and — importantly — to which rating agency’s ESG score is used as the input, which given </w:t>
      </w:r>
      <w:r>
        <w:lastRenderedPageBreak/>
        <w:t>the divergence problem in Part III means some of the mixed results in the literature are partly an artifact of measurement inconsistency rather than a real economic disagreement.</w:t>
      </w:r>
    </w:p>
    <w:p w14:paraId="414E0FAE" w14:textId="77777777" w:rsidR="007C6AD8" w:rsidRDefault="00000000">
      <w:pPr>
        <w:pStyle w:val="Heading3"/>
      </w:pPr>
      <w:bookmarkStart w:id="26" w:name="X135d4ee01dda9e2d957d3acebd57eef4e9a7a45"/>
      <w:r>
        <w:t>4.2 Where the Value Case Is Strongest: Cost of Capital and Risk Mitigation</w:t>
      </w:r>
      <w:bookmarkEnd w:id="26"/>
    </w:p>
    <w:p w14:paraId="6ABC6059" w14:textId="77777777" w:rsidR="007C6AD8" w:rsidRDefault="00000000">
      <w:pPr>
        <w:pStyle w:val="FirstParagraph"/>
      </w:pPr>
      <w:r>
        <w:t xml:space="preserve">The clearest, most defensible value channel is not “ESG increases revenue” but </w:t>
      </w:r>
      <w:r>
        <w:rPr>
          <w:b/>
        </w:rPr>
        <w:t>ESG and governance quality lowering the cost of risk</w:t>
      </w:r>
      <w:r>
        <w:t>. Companies with weaker governance and disclosure have shown measurably higher borrowing costs and equity risk premia in multiple studies, consistent with lenders and investors pricing in the same governance-quality signal boards should already care about for its own sake. The clearest illustration is negative: BP’s, Volkswagen’s, and Wells Fargo’s post-scandal costs (Figure 4 below) were not abstract reputational damage — they were direct cash outflows in fines, settlements, remediation, and lost business, all of which a stronger prior governance and risk-oversight structure had a real chance of preventing or substantially reducing.</w:t>
      </w:r>
    </w:p>
    <w:p w14:paraId="57C923E0" w14:textId="77777777" w:rsidR="007C6AD8" w:rsidRDefault="00000000">
      <w:pPr>
        <w:pStyle w:val="Caption"/>
        <w:jc w:val="center"/>
      </w:pPr>
      <w:r>
        <w:t>Figure 4 — The Cost of Governance Failure: Four Illustrative Cases</w:t>
      </w:r>
    </w:p>
    <w:p w14:paraId="5A7237A4" w14:textId="77777777" w:rsidR="007C6AD8" w:rsidRDefault="00000000">
      <w:pPr>
        <w:pStyle w:val="BodyText"/>
        <w:jc w:val="center"/>
      </w:pPr>
      <w:r>
        <w:rPr>
          <w:noProof/>
        </w:rPr>
        <w:drawing>
          <wp:inline distT="0" distB="0" distL="0" distR="0" wp14:anchorId="55D661FD" wp14:editId="1C7A083F">
            <wp:extent cx="5943600" cy="3714750"/>
            <wp:effectExtent l="0" t="0" r="0" b="0"/>
            <wp:docPr id="307791836" name="Picture"/>
            <wp:cNvGraphicFramePr/>
            <a:graphic xmlns:a="http://schemas.openxmlformats.org/drawingml/2006/main">
              <a:graphicData uri="http://schemas.openxmlformats.org/drawingml/2006/picture">
                <pic:pic xmlns:pic="http://schemas.openxmlformats.org/drawingml/2006/picture">
                  <pic:nvPicPr>
                    <pic:cNvPr id="0" name="Picture" descr="figs/fig7_cost_of_failure.png"/>
                    <pic:cNvPicPr>
                      <a:picLocks noChangeAspect="1" noChangeArrowheads="1"/>
                    </pic:cNvPicPr>
                  </pic:nvPicPr>
                  <pic:blipFill>
                    <a:blip r:embed="rId10"/>
                    <a:stretch>
                      <a:fillRect/>
                    </a:stretch>
                  </pic:blipFill>
                  <pic:spPr bwMode="auto">
                    <a:xfrm>
                      <a:off x="0" y="0"/>
                      <a:ext cx="5943600" cy="3714750"/>
                    </a:xfrm>
                    <a:prstGeom prst="rect">
                      <a:avLst/>
                    </a:prstGeom>
                    <a:noFill/>
                    <a:ln w="9525">
                      <a:noFill/>
                      <a:headEnd/>
                      <a:tailEnd/>
                    </a:ln>
                  </pic:spPr>
                </pic:pic>
              </a:graphicData>
            </a:graphic>
          </wp:inline>
        </w:drawing>
      </w:r>
    </w:p>
    <w:p w14:paraId="6ACD84AA" w14:textId="77777777" w:rsidR="007C6AD8" w:rsidRDefault="00000000">
      <w:pPr>
        <w:pStyle w:val="Heading3"/>
      </w:pPr>
      <w:bookmarkStart w:id="27" w:name="Xc679ffb9d37f71b0a93ceda8353f969cae219bb"/>
      <w:r>
        <w:t>4.3 Talent and Brand: Real but Harder to Isolate</w:t>
      </w:r>
      <w:bookmarkEnd w:id="27"/>
    </w:p>
    <w:p w14:paraId="696751C9" w14:textId="77777777" w:rsidR="007C6AD8" w:rsidRDefault="00000000">
      <w:pPr>
        <w:pStyle w:val="FirstParagraph"/>
      </w:pPr>
      <w:r>
        <w:t>Multiple employer-brand surveys consistently show younger professional talent expressing a preference for employers with credible sustainability and ethical-AI commitments, and companies with strong reputations on these dimensions report lower voluntary attrition and stronger recruiting yield in competitive talent markets — Microsoft’s and Patagonia’s ability to recruit against their stated values is frequently cited anecdotally. The honest caveat: this effect is genuinely difficult to isolate from simple employer brand strength and pay competitiveness, and should be treated as a real but secondary and hard-to-quantify value driver, not a headline justification on its own.</w:t>
      </w:r>
    </w:p>
    <w:p w14:paraId="3BB978BE" w14:textId="77777777" w:rsidR="007C6AD8" w:rsidRDefault="00000000">
      <w:pPr>
        <w:pStyle w:val="Heading3"/>
      </w:pPr>
      <w:bookmarkStart w:id="28" w:name="Xcf2ef922de6c4d2e88dcff95a8bb1360d19b7ac"/>
      <w:r>
        <w:t>4.4 Where the Value Case Is Weakest: ESG-Labeled Financial Products</w:t>
      </w:r>
      <w:bookmarkEnd w:id="28"/>
    </w:p>
    <w:p w14:paraId="5559DA01" w14:textId="77777777" w:rsidR="007C6AD8" w:rsidRDefault="00000000">
      <w:pPr>
        <w:pStyle w:val="FirstParagraph"/>
      </w:pPr>
      <w:r>
        <w:t xml:space="preserve">A separate body of evidence complicates the value case: multiple studies of ESG-labeled mutual funds and ETFs have found that many charge higher fees than conventional equivalents without demonstrating superior risk-adjusted </w:t>
      </w:r>
      <w:r>
        <w:lastRenderedPageBreak/>
        <w:t xml:space="preserve">returns, and several high-profile “greenwashing” enforcement actions (including a 2022 SEC settlement with a major asset manager over ESG-related disclosure and policy failures, and a 2023 fine against a large European bank subsidiary on similar grounds) have specifically targeted the gap between ESG-fund marketing claims and actual portfolio construction. This is a distinct issue from whether ESG </w:t>
      </w:r>
      <w:r>
        <w:rPr>
          <w:i/>
        </w:rPr>
        <w:t>at the operating-company level</w:t>
      </w:r>
      <w:r>
        <w:t xml:space="preserve"> creates value — but it is a caution against assuming “ESG” as a label, on a fund or a company, is self-verifying.</w:t>
      </w:r>
    </w:p>
    <w:p w14:paraId="730D2F0D" w14:textId="77777777" w:rsidR="007C6AD8" w:rsidRDefault="00000000">
      <w:pPr>
        <w:pStyle w:val="Heading2"/>
      </w:pPr>
      <w:bookmarkStart w:id="29" w:name="X5a10e41bb5bc70a81a98e0e9097f035f24ddccc"/>
      <w:r>
        <w:t>Part V — Applied Case: Koç, Sabancı, and Turkish Airlines</w:t>
      </w:r>
      <w:bookmarkEnd w:id="29"/>
    </w:p>
    <w:p w14:paraId="5BD30BFE" w14:textId="77777777" w:rsidR="007C6AD8" w:rsidRDefault="00000000">
      <w:pPr>
        <w:pStyle w:val="CaseHeading"/>
      </w:pPr>
      <w:bookmarkStart w:id="30" w:name="X46438a9607de3527fec1b453c062f7ff562e119"/>
      <w:r>
        <w:t>5.1 Koç Holding: Legacy Sustainability Leadership, Provisional AI Governance</w:t>
      </w:r>
      <w:bookmarkEnd w:id="30"/>
    </w:p>
    <w:p w14:paraId="4A7FFC4B" w14:textId="77777777" w:rsidR="007C6AD8" w:rsidRDefault="00000000">
      <w:pPr>
        <w:pStyle w:val="CaseBody"/>
      </w:pPr>
      <w:r>
        <w:t>Koç Holding — spanning Arçelik (appliances), Ford Otosan, Tüpraş, and financial-services and energy interests — has the longest, most consistent sustainability-disclosure track record of any Turkish industrial group, having been a long-standing constituent of the Dow Jones Sustainability Index (Emerging Markets) and a regular inclusion in the S&amp;P Global Sustainability Yearbook, both requiring detailed, externally-assessed annual questionnaires rather than self-reported claims. That legacy is a genuine governance asset: multi-year index inclusion is hard to fake, because it requires the same rigorous disclosure and assurance discipline year after year, not a single well-produced report. The comparatively softer spot in Koç’s profile, consistent with most large industrial groups globally, is AI governance specifically: the group has not published a board-level AI oversight charter or a named AI governance committee with the same visibility as its long-running sustainability governance structure, making its AI-specific maturity harder to verify externally than its ESG maturity — a gap, not a scandal, and one shared with most non-technology-sector conglomerates worldwide as of this writing.</w:t>
      </w:r>
    </w:p>
    <w:p w14:paraId="2AFEAE1A" w14:textId="77777777" w:rsidR="007C6AD8" w:rsidRDefault="00000000">
      <w:pPr>
        <w:pStyle w:val="CaseHeading"/>
      </w:pPr>
      <w:bookmarkStart w:id="31" w:name="Xd1bebb65ca0001868730d0daad61d47459f04e0"/>
      <w:r>
        <w:t>5.2 Sabancı Holding: A “Just Transition” Test Case</w:t>
      </w:r>
      <w:bookmarkEnd w:id="31"/>
    </w:p>
    <w:p w14:paraId="0769E1A8" w14:textId="77777777" w:rsidR="007C6AD8" w:rsidRDefault="00000000">
      <w:pPr>
        <w:pStyle w:val="CaseBody"/>
      </w:pPr>
      <w:r>
        <w:t>Sabancı Holding’s portfolio (Akbank, Enerjisa, Brisa, Kordsa, Çimsa, and others) gives it a genuine “just transition” test case in Enerjisa, its energy joint venture, which operates both conventional thermal generation and a growing renewables portfolio. Sabancı has published group-wide decarbonization commitments and holds investment-grade-tier ESG ratings from major raters; the harder question, consistent with the “just transition” literature generally, is whether the shift away from thermal generation is being managed with matching workforce transition and community commitments, or whether the renewables build-out and the legacy-asset wind-down are being reported as separate successes without connecting the workforce dots between them. This is the same evidentiary caution as Section 4.4 above applied at company level: strong headline ESG ratings and a genuine decarbonization program can coexist with an under-disclosed transition-management gap, and the two should be evaluated separately rather than assumed to move together.</w:t>
      </w:r>
    </w:p>
    <w:p w14:paraId="0402A514" w14:textId="77777777" w:rsidR="007C6AD8" w:rsidRDefault="00000000">
      <w:pPr>
        <w:pStyle w:val="CaseHeading"/>
      </w:pPr>
      <w:bookmarkStart w:id="32" w:name="X709d31a7db3ac56233917b9bb04d6b8ecad0984"/>
      <w:r>
        <w:t>5.3 Turkish Airlines (THY): Sector-Specific ESG Under an Extraterritorial AI Rule</w:t>
      </w:r>
      <w:bookmarkEnd w:id="32"/>
    </w:p>
    <w:p w14:paraId="7483A8D5" w14:textId="77777777" w:rsidR="007C6AD8" w:rsidRDefault="00000000">
      <w:pPr>
        <w:pStyle w:val="CaseBody"/>
      </w:pPr>
      <w:r>
        <w:t xml:space="preserve">THY organizes its sustainability disclosure around four pillars — governance, economic, environmental, and social — consistent with standard holding-company practice, and has taken concrete, verifiable sector-specific climate action: it operated its first flight using sustainable aviation fuel (SAF) in February 2022 and has since expanded SAF use, and as an international carrier it is bound by CORSIA (the Carbon Offsetting and Reduction Scheme for International Aviation), the sector’s binding global emissions-offset framework — aviation’s equivalent of a SASB-style, industry-specific materiality logic, since aircraft emissions cannot currently be eliminated through electrification at commercial scale the way ground transport emissions increasingly can. On the AI-governance side, THY has published elements of an internal AI-use policy but, like Koç, does not have a publicly confirmed, named board-level AI oversight committee — a materially important gap given that the </w:t>
      </w:r>
      <w:r>
        <w:rPr>
          <w:b/>
        </w:rPr>
        <w:t>EU AI Act applies extraterritorially</w:t>
      </w:r>
      <w:r>
        <w:t xml:space="preserve"> to providers and deployers of AI systems whose outputs are used within the </w:t>
      </w:r>
      <w:r>
        <w:lastRenderedPageBreak/>
        <w:t>EU, which plausibly includes crew-scheduling, dynamic-pricing, or predictive-maintenance systems used on THY’s extensive European route network, regardless of where THY itself is headquartered.</w:t>
      </w:r>
    </w:p>
    <w:p w14:paraId="79F0F8E6" w14:textId="77777777" w:rsidR="007C6AD8" w:rsidRDefault="00000000">
      <w:pPr>
        <w:pStyle w:val="Heading3"/>
      </w:pPr>
      <w:bookmarkStart w:id="33" w:name="cross-company-comparison"/>
      <w:r>
        <w:t>5.4 Cross-Company Comparison</w:t>
      </w:r>
      <w:bookmarkEnd w:id="33"/>
    </w:p>
    <w:p w14:paraId="2C8983C5" w14:textId="77777777" w:rsidR="007C6AD8" w:rsidRDefault="00000000">
      <w:pPr>
        <w:pStyle w:val="Caption"/>
        <w:jc w:val="center"/>
      </w:pPr>
      <w:r>
        <w:t>Figure 5 — ESG / AI-Governance Maturity Comparison: Koç vs. Sabancı vs. THY</w:t>
      </w:r>
    </w:p>
    <w:p w14:paraId="3290EBEB" w14:textId="77777777" w:rsidR="007C6AD8" w:rsidRDefault="00000000">
      <w:pPr>
        <w:pStyle w:val="BodyText"/>
        <w:jc w:val="center"/>
      </w:pPr>
      <w:r>
        <w:rPr>
          <w:noProof/>
        </w:rPr>
        <w:drawing>
          <wp:inline distT="0" distB="0" distL="0" distR="0" wp14:anchorId="109B0A7E" wp14:editId="26EE40B1">
            <wp:extent cx="5513969" cy="5513969"/>
            <wp:effectExtent l="0" t="0" r="0" b="0"/>
            <wp:docPr id="627767118" name="Picture"/>
            <wp:cNvGraphicFramePr/>
            <a:graphic xmlns:a="http://schemas.openxmlformats.org/drawingml/2006/main">
              <a:graphicData uri="http://schemas.openxmlformats.org/drawingml/2006/picture">
                <pic:pic xmlns:pic="http://schemas.openxmlformats.org/drawingml/2006/picture">
                  <pic:nvPicPr>
                    <pic:cNvPr id="0" name="Picture" descr="figs/fig6_koc_sabanci_thy_radar.png"/>
                    <pic:cNvPicPr>
                      <a:picLocks noChangeAspect="1" noChangeArrowheads="1"/>
                    </pic:cNvPicPr>
                  </pic:nvPicPr>
                  <pic:blipFill>
                    <a:blip r:embed="rId11"/>
                    <a:stretch>
                      <a:fillRect/>
                    </a:stretch>
                  </pic:blipFill>
                  <pic:spPr bwMode="auto">
                    <a:xfrm>
                      <a:off x="0" y="0"/>
                      <a:ext cx="5513969" cy="5513969"/>
                    </a:xfrm>
                    <a:prstGeom prst="rect">
                      <a:avLst/>
                    </a:prstGeom>
                    <a:noFill/>
                    <a:ln w="9525">
                      <a:noFill/>
                      <a:headEnd/>
                      <a:tailEnd/>
                    </a:ln>
                  </pic:spPr>
                </pic:pic>
              </a:graphicData>
            </a:graphic>
          </wp:inline>
        </w:drawing>
      </w:r>
    </w:p>
    <w:tbl>
      <w:tblPr>
        <w:tblStyle w:val="Table"/>
        <w:tblW w:w="9360" w:type="dxa"/>
        <w:tblInd w:w="108" w:type="dxa"/>
        <w:tblLayout w:type="fixed"/>
        <w:tblLook w:val="07E0" w:firstRow="1" w:lastRow="1" w:firstColumn="1" w:lastColumn="1" w:noHBand="1" w:noVBand="1"/>
      </w:tblPr>
      <w:tblGrid>
        <w:gridCol w:w="2340"/>
        <w:gridCol w:w="2340"/>
        <w:gridCol w:w="2340"/>
        <w:gridCol w:w="2340"/>
      </w:tblGrid>
      <w:tr w:rsidR="007C6AD8" w14:paraId="5B8E4646" w14:textId="77777777">
        <w:tc>
          <w:tcPr>
            <w:tcW w:w="2340" w:type="dxa"/>
            <w:tcBorders>
              <w:bottom w:val="single" w:sz="0" w:space="0" w:color="auto"/>
            </w:tcBorders>
            <w:shd w:val="clear" w:color="auto" w:fill="1F3864"/>
            <w:vAlign w:val="bottom"/>
          </w:tcPr>
          <w:p w14:paraId="7CB7578E" w14:textId="77777777" w:rsidR="007C6AD8" w:rsidRDefault="00000000">
            <w:pPr>
              <w:pStyle w:val="Compact"/>
            </w:pPr>
            <w:r>
              <w:rPr>
                <w:b/>
                <w:color w:val="FFFFFF"/>
              </w:rPr>
              <w:t>Dimension</w:t>
            </w:r>
          </w:p>
        </w:tc>
        <w:tc>
          <w:tcPr>
            <w:tcW w:w="2340" w:type="dxa"/>
            <w:tcBorders>
              <w:bottom w:val="single" w:sz="0" w:space="0" w:color="auto"/>
            </w:tcBorders>
            <w:shd w:val="clear" w:color="auto" w:fill="1F3864"/>
            <w:vAlign w:val="bottom"/>
          </w:tcPr>
          <w:p w14:paraId="20A6E3D7" w14:textId="77777777" w:rsidR="007C6AD8" w:rsidRDefault="00000000">
            <w:pPr>
              <w:pStyle w:val="Compact"/>
            </w:pPr>
            <w:r>
              <w:rPr>
                <w:b/>
                <w:color w:val="FFFFFF"/>
              </w:rPr>
              <w:t>Koç Holding</w:t>
            </w:r>
          </w:p>
        </w:tc>
        <w:tc>
          <w:tcPr>
            <w:tcW w:w="2340" w:type="dxa"/>
            <w:tcBorders>
              <w:bottom w:val="single" w:sz="0" w:space="0" w:color="auto"/>
            </w:tcBorders>
            <w:shd w:val="clear" w:color="auto" w:fill="1F3864"/>
            <w:vAlign w:val="bottom"/>
          </w:tcPr>
          <w:p w14:paraId="3D7F6F52" w14:textId="77777777" w:rsidR="007C6AD8" w:rsidRDefault="00000000">
            <w:pPr>
              <w:pStyle w:val="Compact"/>
            </w:pPr>
            <w:r>
              <w:rPr>
                <w:b/>
                <w:color w:val="FFFFFF"/>
              </w:rPr>
              <w:t>Sabancı Holding</w:t>
            </w:r>
          </w:p>
        </w:tc>
        <w:tc>
          <w:tcPr>
            <w:tcW w:w="2340" w:type="dxa"/>
            <w:tcBorders>
              <w:bottom w:val="single" w:sz="0" w:space="0" w:color="auto"/>
            </w:tcBorders>
            <w:shd w:val="clear" w:color="auto" w:fill="1F3864"/>
            <w:vAlign w:val="bottom"/>
          </w:tcPr>
          <w:p w14:paraId="5CDE69D0" w14:textId="77777777" w:rsidR="007C6AD8" w:rsidRDefault="00000000">
            <w:pPr>
              <w:pStyle w:val="Compact"/>
            </w:pPr>
            <w:r>
              <w:rPr>
                <w:b/>
                <w:color w:val="FFFFFF"/>
              </w:rPr>
              <w:t>THY</w:t>
            </w:r>
          </w:p>
        </w:tc>
      </w:tr>
      <w:tr w:rsidR="007C6AD8" w14:paraId="22FE7D73" w14:textId="77777777">
        <w:tc>
          <w:tcPr>
            <w:tcW w:w="2340" w:type="dxa"/>
          </w:tcPr>
          <w:p w14:paraId="7C2AD2FA" w14:textId="77777777" w:rsidR="007C6AD8" w:rsidRDefault="00000000">
            <w:pPr>
              <w:pStyle w:val="Compact"/>
            </w:pPr>
            <w:r>
              <w:t>ESG disclosure track record</w:t>
            </w:r>
          </w:p>
        </w:tc>
        <w:tc>
          <w:tcPr>
            <w:tcW w:w="2340" w:type="dxa"/>
          </w:tcPr>
          <w:p w14:paraId="11ECC213" w14:textId="77777777" w:rsidR="007C6AD8" w:rsidRDefault="00000000">
            <w:pPr>
              <w:pStyle w:val="Compact"/>
            </w:pPr>
            <w:r>
              <w:t>Strong — long-run DJSI/S&amp;P Sustainability Yearbook history</w:t>
            </w:r>
          </w:p>
        </w:tc>
        <w:tc>
          <w:tcPr>
            <w:tcW w:w="2340" w:type="dxa"/>
          </w:tcPr>
          <w:p w14:paraId="42DE131E" w14:textId="77777777" w:rsidR="007C6AD8" w:rsidRDefault="00000000">
            <w:pPr>
              <w:pStyle w:val="Compact"/>
            </w:pPr>
            <w:r>
              <w:t>Strong — investment-grade ESG ratings</w:t>
            </w:r>
          </w:p>
        </w:tc>
        <w:tc>
          <w:tcPr>
            <w:tcW w:w="2340" w:type="dxa"/>
          </w:tcPr>
          <w:p w14:paraId="5C9032EC" w14:textId="77777777" w:rsidR="007C6AD8" w:rsidRDefault="00000000">
            <w:pPr>
              <w:pStyle w:val="Compact"/>
            </w:pPr>
            <w:r>
              <w:t>Moderate — sector-standard four-pillar reporting</w:t>
            </w:r>
          </w:p>
        </w:tc>
      </w:tr>
      <w:tr w:rsidR="007C6AD8" w14:paraId="6C07774A" w14:textId="77777777">
        <w:tc>
          <w:tcPr>
            <w:tcW w:w="2340" w:type="dxa"/>
          </w:tcPr>
          <w:p w14:paraId="181F65F8" w14:textId="77777777" w:rsidR="007C6AD8" w:rsidRDefault="00000000">
            <w:pPr>
              <w:pStyle w:val="Compact"/>
            </w:pPr>
            <w:r>
              <w:t>Sector-specific ESG action</w:t>
            </w:r>
          </w:p>
        </w:tc>
        <w:tc>
          <w:tcPr>
            <w:tcW w:w="2340" w:type="dxa"/>
          </w:tcPr>
          <w:p w14:paraId="07978F9F" w14:textId="77777777" w:rsidR="007C6AD8" w:rsidRDefault="00000000">
            <w:pPr>
              <w:pStyle w:val="Compact"/>
            </w:pPr>
            <w:r>
              <w:t>Diversified industrial; Ford Otosan EV transition</w:t>
            </w:r>
          </w:p>
        </w:tc>
        <w:tc>
          <w:tcPr>
            <w:tcW w:w="2340" w:type="dxa"/>
          </w:tcPr>
          <w:p w14:paraId="5C6D86E6" w14:textId="77777777" w:rsidR="007C6AD8" w:rsidRDefault="00000000">
            <w:pPr>
              <w:pStyle w:val="Compact"/>
            </w:pPr>
            <w:r>
              <w:t>Enerjisa renewables build-out</w:t>
            </w:r>
          </w:p>
        </w:tc>
        <w:tc>
          <w:tcPr>
            <w:tcW w:w="2340" w:type="dxa"/>
          </w:tcPr>
          <w:p w14:paraId="70DD11F9" w14:textId="77777777" w:rsidR="007C6AD8" w:rsidRDefault="00000000">
            <w:pPr>
              <w:pStyle w:val="Compact"/>
            </w:pPr>
            <w:r>
              <w:t>SAF use since 2022; CORSIA compliance</w:t>
            </w:r>
          </w:p>
        </w:tc>
      </w:tr>
      <w:tr w:rsidR="007C6AD8" w14:paraId="2751983F" w14:textId="77777777">
        <w:tc>
          <w:tcPr>
            <w:tcW w:w="2340" w:type="dxa"/>
          </w:tcPr>
          <w:p w14:paraId="75783935" w14:textId="77777777" w:rsidR="007C6AD8" w:rsidRDefault="00000000">
            <w:pPr>
              <w:pStyle w:val="Compact"/>
            </w:pPr>
            <w:r>
              <w:lastRenderedPageBreak/>
              <w:t>Named AI governance committee (publicly confirmed)</w:t>
            </w:r>
          </w:p>
        </w:tc>
        <w:tc>
          <w:tcPr>
            <w:tcW w:w="2340" w:type="dxa"/>
          </w:tcPr>
          <w:p w14:paraId="203792AD" w14:textId="77777777" w:rsidR="007C6AD8" w:rsidRDefault="00000000">
            <w:pPr>
              <w:pStyle w:val="Compact"/>
            </w:pPr>
            <w:r>
              <w:t>Not confirmed</w:t>
            </w:r>
          </w:p>
        </w:tc>
        <w:tc>
          <w:tcPr>
            <w:tcW w:w="2340" w:type="dxa"/>
          </w:tcPr>
          <w:p w14:paraId="0F02CA65" w14:textId="77777777" w:rsidR="007C6AD8" w:rsidRDefault="00000000">
            <w:pPr>
              <w:pStyle w:val="Compact"/>
            </w:pPr>
            <w:r>
              <w:t>Not confirmed</w:t>
            </w:r>
          </w:p>
        </w:tc>
        <w:tc>
          <w:tcPr>
            <w:tcW w:w="2340" w:type="dxa"/>
          </w:tcPr>
          <w:p w14:paraId="791B4C78" w14:textId="77777777" w:rsidR="007C6AD8" w:rsidRDefault="00000000">
            <w:pPr>
              <w:pStyle w:val="Compact"/>
            </w:pPr>
            <w:r>
              <w:t>Not confirmed; policy exists</w:t>
            </w:r>
          </w:p>
        </w:tc>
      </w:tr>
      <w:tr w:rsidR="007C6AD8" w14:paraId="63359CD7" w14:textId="77777777">
        <w:tc>
          <w:tcPr>
            <w:tcW w:w="2340" w:type="dxa"/>
          </w:tcPr>
          <w:p w14:paraId="004A7E16" w14:textId="77777777" w:rsidR="007C6AD8" w:rsidRDefault="00000000">
            <w:pPr>
              <w:pStyle w:val="Compact"/>
            </w:pPr>
            <w:r>
              <w:t>Clearest governance question for a board to press on</w:t>
            </w:r>
          </w:p>
        </w:tc>
        <w:tc>
          <w:tcPr>
            <w:tcW w:w="2340" w:type="dxa"/>
          </w:tcPr>
          <w:p w14:paraId="44D3B343" w14:textId="77777777" w:rsidR="007C6AD8" w:rsidRDefault="00000000">
            <w:pPr>
              <w:pStyle w:val="Compact"/>
            </w:pPr>
            <w:r>
              <w:t>Is AI oversight formalized or informally absorbed?</w:t>
            </w:r>
          </w:p>
        </w:tc>
        <w:tc>
          <w:tcPr>
            <w:tcW w:w="2340" w:type="dxa"/>
          </w:tcPr>
          <w:p w14:paraId="0890DDB2" w14:textId="77777777" w:rsidR="007C6AD8" w:rsidRDefault="00000000">
            <w:pPr>
              <w:pStyle w:val="Compact"/>
            </w:pPr>
            <w:r>
              <w:t>Is the “just transition” managed on workforce terms, or reported only in aggregate?</w:t>
            </w:r>
          </w:p>
        </w:tc>
        <w:tc>
          <w:tcPr>
            <w:tcW w:w="2340" w:type="dxa"/>
          </w:tcPr>
          <w:p w14:paraId="3895BB0C" w14:textId="77777777" w:rsidR="007C6AD8" w:rsidRDefault="00000000">
            <w:pPr>
              <w:pStyle w:val="Compact"/>
            </w:pPr>
            <w:r>
              <w:t>Is EU AI Act extraterritorial exposure being actively tracked?</w:t>
            </w:r>
          </w:p>
        </w:tc>
      </w:tr>
    </w:tbl>
    <w:p w14:paraId="1ACECA03" w14:textId="77777777" w:rsidR="007C6AD8" w:rsidRDefault="00000000">
      <w:pPr>
        <w:pStyle w:val="BodyText"/>
      </w:pPr>
      <w:r>
        <w:t>The pattern across all three is consistent: relatively mature, externally-verifiable ESG governance built up over a decade or more, against an AI-governance layer that is, as of this writing, still catching up — which is broadly true of large non-technology companies globally, not a Turkey-specific weakness, but one that is closing faster at global peers with dedicated AI oversight structures (see Microsoft, Section 2.6) than at most diversified industrial holding companies anywhere.</w:t>
      </w:r>
    </w:p>
    <w:p w14:paraId="0A2889C5" w14:textId="77777777" w:rsidR="007C6AD8" w:rsidRDefault="00000000">
      <w:pPr>
        <w:pStyle w:val="Heading2"/>
      </w:pPr>
      <w:bookmarkStart w:id="34" w:name="part-vi-whats-next-20262028"/>
      <w:r>
        <w:t>Part VI — What’s Next: 2026–2028</w:t>
      </w:r>
      <w:bookmarkEnd w:id="34"/>
    </w:p>
    <w:p w14:paraId="5039F247" w14:textId="77777777" w:rsidR="007C6AD8" w:rsidRDefault="00000000">
      <w:pPr>
        <w:pStyle w:val="Heading3"/>
      </w:pPr>
      <w:bookmarkStart w:id="35" w:name="X36a38f3bfc425d0bb1fd5b8a4e790571df6bb57"/>
      <w:r>
        <w:t>6.1 ESG Regulation: Continued Rollout, With Real Political Friction</w:t>
      </w:r>
      <w:bookmarkEnd w:id="35"/>
    </w:p>
    <w:p w14:paraId="5A1071F9" w14:textId="77777777" w:rsidR="007C6AD8" w:rsidRDefault="00000000">
      <w:pPr>
        <w:pStyle w:val="FirstParagraph"/>
      </w:pPr>
      <w:r>
        <w:t xml:space="preserve">The EU’s CSRD/ESRS regime continues its phased rollout through 2026–2028, but the trajectory since 2024 has been toward </w:t>
      </w:r>
      <w:r>
        <w:rPr>
          <w:i/>
        </w:rPr>
        <w:t>narrowing</w:t>
      </w:r>
      <w:r>
        <w:t>, not expanding, scope — the 2025 “Omnibus” simplification package reduced the number of in-scope companies and softened some data-point requirements in direct response to competitiveness concerns from EU industry and member-state governments. This is a genuine political retreat from the CSRD’s original ambition, not merely administrative streamlining, and it sits inside a broader, visible 2025–2026 backlash against ESG as a category in parts of the U.S. political and investment landscape (asset-manager exits from climate-coalition initiatives, state-level anti-ESG legislation, and rhetoric — echoing Tesla’s 2021 “scam” framing in Section 2.5 — treating ESG scoring itself as illegitimate rather than imperfect). Expect continued fragmentation rather than global convergence: the EU’s mandatory double-materiality model, the IFRS Foundation’s ISSB investor-focused baseline (adopted with local variants across much of Asia, the Gulf, and increasingly Türkiye via TSRS), and a narrower, litigation- and enforcement-driven U.S. approach will likely continue moving at different speeds under different political pressure through 2028, rather than settling into one standard.</w:t>
      </w:r>
    </w:p>
    <w:p w14:paraId="43F131AD" w14:textId="77777777" w:rsidR="007C6AD8" w:rsidRDefault="00000000">
      <w:pPr>
        <w:pStyle w:val="Heading3"/>
      </w:pPr>
      <w:bookmarkStart w:id="36" w:name="X640b31650714d3cd67296942363b62f2b1b04fb"/>
      <w:r>
        <w:t>6.2 AI Governance: From Voluntary to Enforceable</w:t>
      </w:r>
      <w:bookmarkEnd w:id="36"/>
    </w:p>
    <w:p w14:paraId="170B99FC" w14:textId="77777777" w:rsidR="007C6AD8" w:rsidRDefault="00000000">
      <w:pPr>
        <w:pStyle w:val="FirstParagraph"/>
      </w:pPr>
      <w:r>
        <w:t>The EU AI Act’s risk-tiered obligations continue phasing in through 2026–2027, with general-purpose AI model obligations and high-risk system requirements as the current compliance front — meaning the next two to three years are when the Act moves from a compliance-planning exercise to an active enforcement one, including for non-EU companies with extraterritorial exposure of the kind flagged for THY above. In parallel, ISO/IEC 42001 certification is likely to become a de facto market expectation for AI vendors and large deployers over the same window, the way ISO 27001 became for information security, giving boards an external, auditable signal for AI governance maturity that does not yet widely exist.</w:t>
      </w:r>
    </w:p>
    <w:p w14:paraId="65446644" w14:textId="77777777" w:rsidR="008D05F7" w:rsidRDefault="008D05F7">
      <w:pPr>
        <w:pStyle w:val="Caption"/>
        <w:jc w:val="center"/>
      </w:pPr>
    </w:p>
    <w:p w14:paraId="7DE6B129" w14:textId="77777777" w:rsidR="008D05F7" w:rsidRDefault="008D05F7">
      <w:pPr>
        <w:pStyle w:val="Caption"/>
        <w:jc w:val="center"/>
      </w:pPr>
    </w:p>
    <w:p w14:paraId="000C54F5" w14:textId="77777777" w:rsidR="008D05F7" w:rsidRDefault="008D05F7">
      <w:pPr>
        <w:pStyle w:val="Caption"/>
        <w:jc w:val="center"/>
      </w:pPr>
    </w:p>
    <w:p w14:paraId="20C01F06" w14:textId="77777777" w:rsidR="008D05F7" w:rsidRDefault="008D05F7">
      <w:pPr>
        <w:pStyle w:val="Caption"/>
        <w:jc w:val="center"/>
      </w:pPr>
    </w:p>
    <w:p w14:paraId="25A706C1" w14:textId="77777777" w:rsidR="008D05F7" w:rsidRDefault="008D05F7">
      <w:pPr>
        <w:pStyle w:val="Caption"/>
        <w:jc w:val="center"/>
      </w:pPr>
    </w:p>
    <w:p w14:paraId="331F0DBF" w14:textId="0572F17D" w:rsidR="007C6AD8" w:rsidRDefault="00000000">
      <w:pPr>
        <w:pStyle w:val="Caption"/>
        <w:jc w:val="center"/>
      </w:pPr>
      <w:r>
        <w:lastRenderedPageBreak/>
        <w:t>Figure 6 — Timeline of Major ESG and AI-Governance Regulatory Milestones, 2015–2026</w:t>
      </w:r>
    </w:p>
    <w:p w14:paraId="495F30E0" w14:textId="77777777" w:rsidR="007C6AD8" w:rsidRDefault="00000000">
      <w:pPr>
        <w:pStyle w:val="BodyText"/>
        <w:jc w:val="center"/>
      </w:pPr>
      <w:r>
        <w:rPr>
          <w:noProof/>
        </w:rPr>
        <w:drawing>
          <wp:inline distT="0" distB="0" distL="0" distR="0" wp14:anchorId="1D3493A1" wp14:editId="05104C5A">
            <wp:extent cx="5943600" cy="2729653"/>
            <wp:effectExtent l="0" t="0" r="0" b="0"/>
            <wp:docPr id="753570713" name="Picture"/>
            <wp:cNvGraphicFramePr/>
            <a:graphic xmlns:a="http://schemas.openxmlformats.org/drawingml/2006/main">
              <a:graphicData uri="http://schemas.openxmlformats.org/drawingml/2006/picture">
                <pic:pic xmlns:pic="http://schemas.openxmlformats.org/drawingml/2006/picture">
                  <pic:nvPicPr>
                    <pic:cNvPr id="0" name="Picture" descr="figs/fig8_regulatory_timeline.png"/>
                    <pic:cNvPicPr>
                      <a:picLocks noChangeAspect="1" noChangeArrowheads="1"/>
                    </pic:cNvPicPr>
                  </pic:nvPicPr>
                  <pic:blipFill>
                    <a:blip r:embed="rId12"/>
                    <a:stretch>
                      <a:fillRect/>
                    </a:stretch>
                  </pic:blipFill>
                  <pic:spPr bwMode="auto">
                    <a:xfrm>
                      <a:off x="0" y="0"/>
                      <a:ext cx="5943600" cy="2729653"/>
                    </a:xfrm>
                    <a:prstGeom prst="rect">
                      <a:avLst/>
                    </a:prstGeom>
                    <a:noFill/>
                    <a:ln w="9525">
                      <a:noFill/>
                      <a:headEnd/>
                      <a:tailEnd/>
                    </a:ln>
                  </pic:spPr>
                </pic:pic>
              </a:graphicData>
            </a:graphic>
          </wp:inline>
        </w:drawing>
      </w:r>
    </w:p>
    <w:p w14:paraId="63E2EF11" w14:textId="77777777" w:rsidR="007C6AD8" w:rsidRDefault="00000000">
      <w:pPr>
        <w:pStyle w:val="Heading3"/>
      </w:pPr>
      <w:bookmarkStart w:id="37" w:name="X2391cf0448bd83b18be3ce029fdf4a064d9d98f"/>
      <w:r>
        <w:t>6.3 Koç, Sabancı, and THY: The Likely Trajectory</w:t>
      </w:r>
      <w:bookmarkEnd w:id="37"/>
    </w:p>
    <w:p w14:paraId="13FA5C62" w14:textId="77777777" w:rsidR="007C6AD8" w:rsidRDefault="00000000">
      <w:pPr>
        <w:pStyle w:val="FirstParagraph"/>
      </w:pPr>
      <w:r>
        <w:t>Given the pattern in Part V, the most probable path for all three companies over the next two to three years is continued strengthening of already-mature ESG disclosure (aided by TSRS’s ISSB-aligned rollout in Türkiye, which will push local reporting toward the same investor-focused baseline much of Asia and the Gulf are converging on) alongside slower, catch-up-mode formalization of AI governance structures — a board-level AI oversight committee or a named executive with clear authority is a plausible, low-cost next step for any of the three, and the company that moves first will have a genuine, verifiable governance-quality signal the others currently lack. The clearest forward-looking risk specific to THY is EU AI Act extraterritorial exposure tightening faster than internal AI governance formalizes; the clearest one for Sabancı is whether Enerjisa’s transition reporting closes the workforce-disclosure gap before an external stakeholder (an NGO, a journalist, or an activist investor, per the Danone and Unilever cases above) forces the question; and for Koç, whether its strong legacy ESG disclosure discipline gets extended to AI governance with the same rigor, or is treated as a separate, lower-priority track.</w:t>
      </w:r>
    </w:p>
    <w:p w14:paraId="06B6E316" w14:textId="77777777" w:rsidR="007C6AD8" w:rsidRDefault="00000000">
      <w:pPr>
        <w:pStyle w:val="Heading2"/>
      </w:pPr>
      <w:bookmarkStart w:id="38" w:name="discussion-questions"/>
      <w:r>
        <w:t>Discussion Questions</w:t>
      </w:r>
      <w:bookmarkEnd w:id="38"/>
    </w:p>
    <w:p w14:paraId="31328169" w14:textId="77777777" w:rsidR="007C6AD8" w:rsidRDefault="00000000">
      <w:pPr>
        <w:pStyle w:val="Compact"/>
        <w:numPr>
          <w:ilvl w:val="0"/>
          <w:numId w:val="5"/>
        </w:numPr>
      </w:pPr>
      <w:r>
        <w:t>Pick one case from Part II. Was the failure best explained by weak stakeholder theory (ignoring affected parties) or weak shareholder-primacy discipline (poor capital-allocation and risk oversight), or both? Defend your answer with specifics from the case.</w:t>
      </w:r>
    </w:p>
    <w:p w14:paraId="799B5861" w14:textId="77777777" w:rsidR="007C6AD8" w:rsidRDefault="00000000">
      <w:pPr>
        <w:pStyle w:val="Compact"/>
        <w:numPr>
          <w:ilvl w:val="0"/>
          <w:numId w:val="5"/>
        </w:numPr>
      </w:pPr>
      <w:r>
        <w:t>A company shows you an MSCI rating of “AA” and a Sustainalytics score placing it in “medium risk.” Are these consistent, contradictory, or not directly comparable? Explain using the scoring logic in Part III.</w:t>
      </w:r>
    </w:p>
    <w:p w14:paraId="579A8D21" w14:textId="77777777" w:rsidR="007C6AD8" w:rsidRDefault="00000000">
      <w:pPr>
        <w:pStyle w:val="Compact"/>
        <w:numPr>
          <w:ilvl w:val="0"/>
          <w:numId w:val="5"/>
        </w:numPr>
      </w:pPr>
      <w:r>
        <w:t>Using the five-step scorecard method in Section 3.3, sketch a materiality assessment for one of Koç, Sabancı, or THY. What are the 3–5 material issues, and how would you score them?</w:t>
      </w:r>
    </w:p>
    <w:p w14:paraId="5F25099F" w14:textId="77777777" w:rsidR="007C6AD8" w:rsidRDefault="00000000">
      <w:pPr>
        <w:pStyle w:val="Compact"/>
        <w:numPr>
          <w:ilvl w:val="0"/>
          <w:numId w:val="5"/>
        </w:numPr>
      </w:pPr>
      <w:r>
        <w:t>Friede, Busch and Bassen (2015) found a positive ESG–performance relationship in ~90% of studies reviewed. Why doesn’t this settle the question of whether ESG “pays off”? What would change your confidence either way?</w:t>
      </w:r>
    </w:p>
    <w:p w14:paraId="2AEF026A" w14:textId="77777777" w:rsidR="007C6AD8" w:rsidRDefault="00000000">
      <w:pPr>
        <w:pStyle w:val="Compact"/>
        <w:numPr>
          <w:ilvl w:val="0"/>
          <w:numId w:val="5"/>
        </w:numPr>
      </w:pPr>
      <w:r>
        <w:t>Compare BP (Section 2.1) and Patagonia (Section 2.8): what does the difference in ownership structure (public shareholders vs. purpose trust) tell you about which governance commitments are durable versus revocable?</w:t>
      </w:r>
    </w:p>
    <w:p w14:paraId="2E3C5455" w14:textId="77777777" w:rsidR="007C6AD8" w:rsidRDefault="00000000">
      <w:pPr>
        <w:pStyle w:val="Compact"/>
        <w:numPr>
          <w:ilvl w:val="0"/>
          <w:numId w:val="5"/>
        </w:numPr>
      </w:pPr>
      <w:r>
        <w:lastRenderedPageBreak/>
        <w:t>THY faces EU AI Act extraterritorial exposure without a confirmed board-level AI committee. Draft the three questions you would ask THY’s board if you were an institutional investor.</w:t>
      </w:r>
    </w:p>
    <w:p w14:paraId="5B7C00B7" w14:textId="77777777" w:rsidR="007C6AD8" w:rsidRDefault="00000000">
      <w:pPr>
        <w:pStyle w:val="Compact"/>
        <w:numPr>
          <w:ilvl w:val="0"/>
          <w:numId w:val="5"/>
        </w:numPr>
      </w:pPr>
      <w:r>
        <w:t>Is Sabancı’s Enerjisa case a genuine “just transition,” a reporting gap, or too early to tell? What specific disclosure would resolve the question?</w:t>
      </w:r>
    </w:p>
    <w:p w14:paraId="3F346364" w14:textId="77777777" w:rsidR="007C6AD8" w:rsidRDefault="00000000">
      <w:pPr>
        <w:pStyle w:val="Compact"/>
        <w:numPr>
          <w:ilvl w:val="0"/>
          <w:numId w:val="5"/>
        </w:numPr>
      </w:pPr>
      <w:r>
        <w:t>Should the EU’s 2025 Omnibus scope-narrowing be read as a pragmatic correction or a political retreat from CSRD’s original ambition? What evidence would distinguish the two?</w:t>
      </w:r>
    </w:p>
    <w:p w14:paraId="57D5D748" w14:textId="77777777" w:rsidR="007C6AD8" w:rsidRDefault="00000000">
      <w:pPr>
        <w:pStyle w:val="Compact"/>
        <w:numPr>
          <w:ilvl w:val="0"/>
          <w:numId w:val="5"/>
        </w:numPr>
      </w:pPr>
      <w:r>
        <w:t>Compare Google/DeepMind’s AI ethics board dissolution (Section 2.12) with Microsoft’s Office of Responsible AI (Section 2.6). What structural difference explains why one collapsed in a week and the other has persisted for years?</w:t>
      </w:r>
    </w:p>
    <w:p w14:paraId="41B0CAD6" w14:textId="77777777" w:rsidR="007C6AD8" w:rsidRDefault="00000000">
      <w:pPr>
        <w:pStyle w:val="Compact"/>
        <w:numPr>
          <w:ilvl w:val="0"/>
          <w:numId w:val="5"/>
        </w:numPr>
      </w:pPr>
      <w:r>
        <w:t>If you were advising Koç Holding’s board on a single next step to close its AI-governance gap, what would it be, and how would you make its impact externally verifiable within 12 months?</w:t>
      </w:r>
    </w:p>
    <w:p w14:paraId="366239E0" w14:textId="77777777" w:rsidR="007C6AD8" w:rsidRDefault="00000000">
      <w:pPr>
        <w:pStyle w:val="Heading2"/>
      </w:pPr>
      <w:bookmarkStart w:id="39" w:name="references"/>
      <w:r>
        <w:t>References</w:t>
      </w:r>
      <w:bookmarkEnd w:id="39"/>
    </w:p>
    <w:p w14:paraId="715320D0" w14:textId="77777777" w:rsidR="007C6AD8" w:rsidRDefault="00000000">
      <w:pPr>
        <w:pStyle w:val="FirstParagraph"/>
      </w:pPr>
      <w:r>
        <w:t xml:space="preserve">Berg, F., Kölbel, J. F., &amp; Rigobon, R. (2022). Aggregate confusion: The divergence of ESG ratings. </w:t>
      </w:r>
      <w:r>
        <w:rPr>
          <w:i/>
        </w:rPr>
        <w:t>Review of Finance</w:t>
      </w:r>
      <w:r>
        <w:t>, 26(6), 1315–1344.</w:t>
      </w:r>
    </w:p>
    <w:p w14:paraId="1D1EAE9F" w14:textId="77777777" w:rsidR="007C6AD8" w:rsidRDefault="00000000">
      <w:pPr>
        <w:pStyle w:val="BodyText"/>
      </w:pPr>
      <w:r>
        <w:t xml:space="preserve">Elkington, J. (1994). Towards the sustainable corporation: Win-win-win business strategies for sustainable development. </w:t>
      </w:r>
      <w:r>
        <w:rPr>
          <w:i/>
        </w:rPr>
        <w:t>California Management Review</w:t>
      </w:r>
      <w:r>
        <w:t>, 36(2), 90–100.</w:t>
      </w:r>
    </w:p>
    <w:p w14:paraId="3D1DC255" w14:textId="77777777" w:rsidR="007C6AD8" w:rsidRDefault="00000000">
      <w:pPr>
        <w:pStyle w:val="BodyText"/>
      </w:pPr>
      <w:r>
        <w:t xml:space="preserve">Freeman, R. E. (1984). </w:t>
      </w:r>
      <w:r>
        <w:rPr>
          <w:i/>
        </w:rPr>
        <w:t>Strategic Management: A Stakeholder Approach</w:t>
      </w:r>
      <w:r>
        <w:t>. Pitman.</w:t>
      </w:r>
    </w:p>
    <w:p w14:paraId="39B5160A" w14:textId="77777777" w:rsidR="007C6AD8" w:rsidRDefault="00000000">
      <w:pPr>
        <w:pStyle w:val="BodyText"/>
      </w:pPr>
      <w:r>
        <w:t xml:space="preserve">Friede, G., Busch, T., &amp; Bassen, A. (2015). ESG and financial performance: Aggregated evidence from more than 2000 empirical studies. </w:t>
      </w:r>
      <w:r>
        <w:rPr>
          <w:i/>
        </w:rPr>
        <w:t>Journal of Sustainable Finance &amp; Investment</w:t>
      </w:r>
      <w:r>
        <w:t>, 5(4), 210–233.</w:t>
      </w:r>
    </w:p>
    <w:p w14:paraId="731B4B55" w14:textId="77777777" w:rsidR="007C6AD8" w:rsidRDefault="00000000">
      <w:pPr>
        <w:pStyle w:val="BodyText"/>
      </w:pPr>
      <w:r>
        <w:t xml:space="preserve">Friedman, M. (1970, September 13). The social responsibility of business is to increase its profits. </w:t>
      </w:r>
      <w:r>
        <w:rPr>
          <w:i/>
        </w:rPr>
        <w:t>The New York Times Magazine</w:t>
      </w:r>
      <w:r>
        <w:t>.</w:t>
      </w:r>
    </w:p>
    <w:p w14:paraId="7925E394" w14:textId="77777777" w:rsidR="007C6AD8" w:rsidRDefault="00000000">
      <w:pPr>
        <w:pStyle w:val="BodyText"/>
      </w:pPr>
      <w:r>
        <w:t xml:space="preserve">International Sustainability Standards Board (ISSB). (2023). </w:t>
      </w:r>
      <w:r>
        <w:rPr>
          <w:i/>
        </w:rPr>
        <w:t>IFRS S1 and IFRS S2</w:t>
      </w:r>
      <w:r>
        <w:t>. IFRS Foundation.</w:t>
      </w:r>
    </w:p>
    <w:p w14:paraId="3D988D97" w14:textId="77777777" w:rsidR="007C6AD8" w:rsidRDefault="00000000">
      <w:pPr>
        <w:pStyle w:val="BodyText"/>
      </w:pPr>
      <w:r>
        <w:t xml:space="preserve">ISO. (2023). </w:t>
      </w:r>
      <w:r>
        <w:rPr>
          <w:i/>
        </w:rPr>
        <w:t>ISO/IEC 42001:2023 — Information technology — Artificial intelligence — Management system</w:t>
      </w:r>
      <w:r>
        <w:t>.</w:t>
      </w:r>
    </w:p>
    <w:p w14:paraId="207CB831" w14:textId="77777777" w:rsidR="007C6AD8" w:rsidRDefault="00000000">
      <w:pPr>
        <w:pStyle w:val="BodyText"/>
      </w:pPr>
      <w:r w:rsidRPr="008D05F7">
        <w:rPr>
          <w:lang w:val="de-DE"/>
        </w:rPr>
        <w:t xml:space="preserve">Jensen, M. C., &amp; Meckling, W. H. (1976). </w:t>
      </w:r>
      <w:r>
        <w:t xml:space="preserve">Theory of the firm: Managerial behavior, agency costs and ownership structure. </w:t>
      </w:r>
      <w:r>
        <w:rPr>
          <w:i/>
        </w:rPr>
        <w:t>Journal of Financial Economics</w:t>
      </w:r>
      <w:r>
        <w:t>, 3(4), 305–360.</w:t>
      </w:r>
    </w:p>
    <w:p w14:paraId="6BB2FD93" w14:textId="77777777" w:rsidR="007C6AD8" w:rsidRDefault="00000000">
      <w:pPr>
        <w:pStyle w:val="BodyText"/>
      </w:pPr>
      <w:r>
        <w:t xml:space="preserve">National Institute of Standards and Technology (NIST). (2023). </w:t>
      </w:r>
      <w:r>
        <w:rPr>
          <w:i/>
        </w:rPr>
        <w:t>AI Risk Management Framework (AI RMF 1.0)</w:t>
      </w:r>
      <w:r>
        <w:t>.</w:t>
      </w:r>
    </w:p>
    <w:p w14:paraId="4CB6DF12" w14:textId="77777777" w:rsidR="007C6AD8" w:rsidRDefault="00000000">
      <w:pPr>
        <w:pStyle w:val="BodyText"/>
      </w:pPr>
      <w:r w:rsidRPr="008D05F7">
        <w:rPr>
          <w:lang w:val="de-DE"/>
        </w:rPr>
        <w:t xml:space="preserve">Porter, M. E., &amp; Kramer, M. R. (2011). </w:t>
      </w:r>
      <w:r>
        <w:t xml:space="preserve">Creating shared value. </w:t>
      </w:r>
      <w:r>
        <w:rPr>
          <w:i/>
        </w:rPr>
        <w:t>Harvard Business Review</w:t>
      </w:r>
      <w:r>
        <w:t>, 89(1/2), 62–77.</w:t>
      </w:r>
    </w:p>
    <w:p w14:paraId="1E989A52" w14:textId="77777777" w:rsidR="007C6AD8" w:rsidRDefault="00000000">
      <w:pPr>
        <w:pStyle w:val="BodyText"/>
      </w:pPr>
      <w:r>
        <w:t xml:space="preserve">European Union. (2022). </w:t>
      </w:r>
      <w:r>
        <w:rPr>
          <w:i/>
        </w:rPr>
        <w:t>Corporate Sustainability Reporting Directive (CSRD)</w:t>
      </w:r>
      <w:r>
        <w:t>, Directive (EU) 2022/2464.</w:t>
      </w:r>
    </w:p>
    <w:p w14:paraId="5F64FB07" w14:textId="77777777" w:rsidR="007C6AD8" w:rsidRDefault="00000000">
      <w:pPr>
        <w:pStyle w:val="BodyText"/>
      </w:pPr>
      <w:r>
        <w:t xml:space="preserve">European Union. (2024). </w:t>
      </w:r>
      <w:r>
        <w:rPr>
          <w:i/>
        </w:rPr>
        <w:t>Artificial Intelligence Act</w:t>
      </w:r>
      <w:r>
        <w:t>, Regulation (EU) 2024/1689.</w:t>
      </w:r>
    </w:p>
    <w:p w14:paraId="3FFF2112" w14:textId="77777777" w:rsidR="007C6AD8" w:rsidRDefault="00000000">
      <w:pPr>
        <w:pStyle w:val="BodyText"/>
      </w:pPr>
      <w:r>
        <w:t xml:space="preserve">MSCI. (2026). </w:t>
      </w:r>
      <w:r>
        <w:rPr>
          <w:i/>
        </w:rPr>
        <w:t>MSCI ESG Ratings Methodology</w:t>
      </w:r>
      <w:r>
        <w:t>.</w:t>
      </w:r>
    </w:p>
    <w:p w14:paraId="39A48E19" w14:textId="77777777" w:rsidR="007C6AD8" w:rsidRDefault="00000000">
      <w:pPr>
        <w:pStyle w:val="BodyText"/>
      </w:pPr>
      <w:r>
        <w:t xml:space="preserve">Morningstar Sustainalytics. (2026). </w:t>
      </w:r>
      <w:r>
        <w:rPr>
          <w:i/>
        </w:rPr>
        <w:t>ESG Risk Ratings Methodology Overview</w:t>
      </w:r>
      <w:r>
        <w:t>.</w:t>
      </w:r>
    </w:p>
    <w:p w14:paraId="78EC37C2" w14:textId="77777777" w:rsidR="007C6AD8" w:rsidRDefault="00000000">
      <w:pPr>
        <w:pStyle w:val="BodyText"/>
      </w:pPr>
      <w:r>
        <w:t xml:space="preserve">S&amp;P Global. (2026). </w:t>
      </w:r>
      <w:r>
        <w:rPr>
          <w:i/>
        </w:rPr>
        <w:t>Corporate Sustainability Assessment (CSA) Methodology</w:t>
      </w:r>
      <w:r>
        <w:t>.</w:t>
      </w:r>
    </w:p>
    <w:p w14:paraId="19241626" w14:textId="77777777" w:rsidR="007C6AD8" w:rsidRPr="008D05F7" w:rsidRDefault="00000000">
      <w:pPr>
        <w:pStyle w:val="BodyText"/>
        <w:rPr>
          <w:lang w:val="de-DE"/>
        </w:rPr>
      </w:pPr>
      <w:r w:rsidRPr="008D05F7">
        <w:rPr>
          <w:lang w:val="de-DE"/>
        </w:rPr>
        <w:t xml:space="preserve">Rechtbank Den Haag. (2021). </w:t>
      </w:r>
      <w:proofErr w:type="spellStart"/>
      <w:r w:rsidRPr="008D05F7">
        <w:rPr>
          <w:i/>
          <w:lang w:val="de-DE"/>
        </w:rPr>
        <w:t>Milieudefensie</w:t>
      </w:r>
      <w:proofErr w:type="spellEnd"/>
      <w:r w:rsidRPr="008D05F7">
        <w:rPr>
          <w:i/>
          <w:lang w:val="de-DE"/>
        </w:rPr>
        <w:t xml:space="preserve"> et al. v. Royal </w:t>
      </w:r>
      <w:proofErr w:type="spellStart"/>
      <w:r w:rsidRPr="008D05F7">
        <w:rPr>
          <w:i/>
          <w:lang w:val="de-DE"/>
        </w:rPr>
        <w:t>Dutch</w:t>
      </w:r>
      <w:proofErr w:type="spellEnd"/>
      <w:r w:rsidRPr="008D05F7">
        <w:rPr>
          <w:i/>
          <w:lang w:val="de-DE"/>
        </w:rPr>
        <w:t xml:space="preserve"> Shell </w:t>
      </w:r>
      <w:proofErr w:type="spellStart"/>
      <w:r w:rsidRPr="008D05F7">
        <w:rPr>
          <w:i/>
          <w:lang w:val="de-DE"/>
        </w:rPr>
        <w:t>plc</w:t>
      </w:r>
      <w:proofErr w:type="spellEnd"/>
      <w:r w:rsidRPr="008D05F7">
        <w:rPr>
          <w:lang w:val="de-DE"/>
        </w:rPr>
        <w:t>, ECLI:</w:t>
      </w:r>
      <w:proofErr w:type="gramStart"/>
      <w:r w:rsidRPr="008D05F7">
        <w:rPr>
          <w:lang w:val="de-DE"/>
        </w:rPr>
        <w:t>NL:RBDHA</w:t>
      </w:r>
      <w:proofErr w:type="gramEnd"/>
      <w:r w:rsidRPr="008D05F7">
        <w:rPr>
          <w:lang w:val="de-DE"/>
        </w:rPr>
        <w:t>:2021:5337.</w:t>
      </w:r>
    </w:p>
    <w:p w14:paraId="18726F46" w14:textId="77777777" w:rsidR="007C6AD8" w:rsidRDefault="00000000">
      <w:pPr>
        <w:pStyle w:val="BodyText"/>
      </w:pPr>
      <w:r>
        <w:t xml:space="preserve">U.S. Securities and Exchange Commission. (2022–2023). </w:t>
      </w:r>
      <w:r>
        <w:rPr>
          <w:i/>
        </w:rPr>
        <w:t>Enforcement actions related to ESG disclosure and greenwashing</w:t>
      </w:r>
      <w:r>
        <w:t xml:space="preserve"> (press releases).</w:t>
      </w:r>
    </w:p>
    <w:p w14:paraId="79237E22" w14:textId="77777777" w:rsidR="007C6AD8" w:rsidRDefault="00000000">
      <w:pPr>
        <w:pStyle w:val="BodyText"/>
      </w:pPr>
      <w:r>
        <w:t xml:space="preserve">Koç Holding. (2026). </w:t>
      </w:r>
      <w:r>
        <w:rPr>
          <w:i/>
        </w:rPr>
        <w:t>Sustainability Report and S&amp;P Global Sustainability Yearbook profile</w:t>
      </w:r>
      <w:r>
        <w:t xml:space="preserve"> (company disclosures).</w:t>
      </w:r>
    </w:p>
    <w:p w14:paraId="61AAD6E9" w14:textId="77777777" w:rsidR="007C6AD8" w:rsidRDefault="00000000">
      <w:pPr>
        <w:pStyle w:val="BodyText"/>
      </w:pPr>
      <w:r>
        <w:lastRenderedPageBreak/>
        <w:t xml:space="preserve">Sabancı Holding. (2026). </w:t>
      </w:r>
      <w:r>
        <w:rPr>
          <w:i/>
        </w:rPr>
        <w:t>Sustainability and Enerjisa transition disclosures</w:t>
      </w:r>
      <w:r>
        <w:t xml:space="preserve"> (company reports).</w:t>
      </w:r>
    </w:p>
    <w:p w14:paraId="72038C85" w14:textId="77777777" w:rsidR="007C6AD8" w:rsidRDefault="00000000">
      <w:pPr>
        <w:pStyle w:val="BodyText"/>
      </w:pPr>
      <w:r>
        <w:t xml:space="preserve">Turkish Airlines (THY). (2026). </w:t>
      </w:r>
      <w:r>
        <w:rPr>
          <w:i/>
        </w:rPr>
        <w:t>Sustainability Report and CORSIA/SAF disclosures</w:t>
      </w:r>
      <w:r>
        <w:t xml:space="preserve"> (company reports).</w:t>
      </w:r>
    </w:p>
    <w:p w14:paraId="0D32CF64" w14:textId="77777777" w:rsidR="007C6AD8" w:rsidRDefault="00000000">
      <w:pPr>
        <w:pStyle w:val="Heading2"/>
      </w:pPr>
      <w:bookmarkStart w:id="40" w:name="X1e5d83b122cb402814f376c9a7b01b73ed28d58"/>
      <w:r>
        <w:t>Appendix A — Extended Case Detail and Supplementary Analysis</w:t>
      </w:r>
      <w:bookmarkEnd w:id="40"/>
    </w:p>
    <w:p w14:paraId="714AF994" w14:textId="77777777" w:rsidR="007C6AD8" w:rsidRDefault="00000000">
      <w:pPr>
        <w:pStyle w:val="CaseHeading"/>
      </w:pPr>
      <w:bookmarkStart w:id="41" w:name="X37a98628bd3ace24cd9b861bdd48bd0b060581f"/>
      <w:r>
        <w:t>A.1 Wells Fargo: The Fake-Accounts Scandal as an Early Warning on Algorithmic and Incentive Design</w:t>
      </w:r>
      <w:bookmarkEnd w:id="41"/>
    </w:p>
    <w:p w14:paraId="6455A331" w14:textId="77777777" w:rsidR="007C6AD8" w:rsidRDefault="00000000">
      <w:pPr>
        <w:pStyle w:val="CaseBody"/>
      </w:pPr>
      <w:r>
        <w:t xml:space="preserve">Between roughly 2011 and 2016, Wells Fargo employees opened an estimated 3.5 million deposit and credit-card accounts without customer authorization in order to hit aggressive cross-selling sales quotas set by senior management. This is usually taught as a sales-culture and incentive-design failure rather than a technology failure, but it belongs in an ESG-and-AI-governance reader for a specific reason: it is the clearest pre-AI illustration of what happens when a firm optimizes a workforce, or an algorithm, against a single metric (accounts opened) without a governance layer checking whether the metric is being gamed. The parallel to AI governance is direct — a recommendation engine, a pricing algorithm, or a hiring-screening tool optimized against a single objective function will find the same kind of shortcut a pressured employee found, and the same governance question applies: who is checking not just whether the target was hit, but </w:t>
      </w:r>
      <w:r>
        <w:rPr>
          <w:i/>
        </w:rPr>
        <w:t>how</w:t>
      </w:r>
      <w:r>
        <w:t>? Wells Fargo’s total costs — the 2016 CFPB/OCC settlement, a 2018 Federal Reserve growth cap unprecedented for a bank of its size, additional state settlements, and a cumulative $3 billion federal settlement in 2020 — illustrate that incentive-design governance failures are not cheaper than technology governance failures; they are the same failure wearing a different disguise.</w:t>
      </w:r>
    </w:p>
    <w:p w14:paraId="44627587" w14:textId="77777777" w:rsidR="007C6AD8" w:rsidRDefault="00000000">
      <w:pPr>
        <w:pStyle w:val="CaseHeading"/>
      </w:pPr>
      <w:bookmarkStart w:id="42" w:name="Xc84c7b85de99e9ab155396fab3625f2d25024ca"/>
      <w:r>
        <w:t>A.2 Boeing 737 MAX: When Safety-Critical Software Bypasses Its Own Oversight</w:t>
      </w:r>
      <w:bookmarkEnd w:id="42"/>
    </w:p>
    <w:p w14:paraId="10439702" w14:textId="77777777" w:rsidR="007C6AD8" w:rsidRDefault="00000000">
      <w:pPr>
        <w:pStyle w:val="CaseBody"/>
      </w:pPr>
      <w:r>
        <w:t>Boeing’s 737 MAX crashes (Lion Air, October 2018; Ethiopian Airlines, March 2019, 346 deaths combined) were traced to MCAS, a flight-control software system that could repeatedly push the aircraft’s nose down based on a single angle-of-attack sensor, with minimal disclosure to airlines or pilots and without redundant sensor cross-checks that would be considered standard practice for a system with that much control authority. Internal communications released during subsequent investigations showed engineers and even a designated safety pilot raising concerns about the software’s behavior well before certification was finalized, concerns that did not surface effectively to the board level in time to change the outcome. Boeing’s cumulative costs, including a $2.5 billion 2021 criminal settlement, aircraft groundings, compensation, and lost orders, are estimated at roughly $20 billion. For an AI-governance reader, the case is a direct analogue to autonomous or semi-autonomous decision systems more broadly: single-sensor dependency, insufficient internal escalation of engineer-level concerns, and a board that received assurances rather than technical detail are exactly the failure modes AI-oversight committees are now being built to prevent in software with far less physical consequence than a flight-control system.</w:t>
      </w:r>
    </w:p>
    <w:p w14:paraId="0C04EED6" w14:textId="77777777" w:rsidR="007C6AD8" w:rsidRDefault="00000000">
      <w:pPr>
        <w:pStyle w:val="CaseHeading"/>
      </w:pPr>
      <w:bookmarkStart w:id="43" w:name="X4f90c0d297bd34a7573f250f4261e1ad5710a38"/>
      <w:r>
        <w:t>A.3 Facebook / Cambridge Analytica: Third-Party Data Governance (2018)</w:t>
      </w:r>
      <w:bookmarkEnd w:id="43"/>
    </w:p>
    <w:p w14:paraId="344B49AE" w14:textId="77777777" w:rsidR="007C6AD8" w:rsidRDefault="00000000">
      <w:pPr>
        <w:pStyle w:val="CaseBody"/>
      </w:pPr>
      <w:r>
        <w:t xml:space="preserve">The 2018 revelation that Cambridge Analytica had harvested personal data from roughly 87 million Facebook users, via a personality-quiz app that exploited permissive platform data-sharing rules, and used it for political-advertising targeting without meaningful consent, exposed a governance gap distinct from the AI-bias cases discussed in Part II: the failure was not in a model Facebook built, but in inadequate oversight of what third-party developers could do with data the platform’s own architecture made available. Facebook’s $5 billion FTC settlement in 2019 remains one of the largest privacy-related penalties issued to a technology company, and the case is now the standard reference point for board-level questions about </w:t>
      </w:r>
      <w:r>
        <w:rPr>
          <w:i/>
        </w:rPr>
        <w:t>platform governance</w:t>
      </w:r>
      <w:r>
        <w:t xml:space="preserve"> — not just “is our </w:t>
      </w:r>
      <w:r>
        <w:lastRenderedPageBreak/>
        <w:t>AI system biased,” but “what can external parties do with the data and access our systems expose, and who is accountable for that boundary.”</w:t>
      </w:r>
    </w:p>
    <w:p w14:paraId="47566C0E" w14:textId="77777777" w:rsidR="007C6AD8" w:rsidRDefault="00000000">
      <w:pPr>
        <w:pStyle w:val="CaseHeading"/>
      </w:pPr>
      <w:bookmarkStart w:id="44" w:name="X8fe09e4742b338595d1668e2f60ac464e017dcd"/>
      <w:r>
        <w:t>A.4 Clearview AI: Biometric Data and Regulatory Backlash</w:t>
      </w:r>
      <w:bookmarkEnd w:id="44"/>
    </w:p>
    <w:p w14:paraId="597C38BD" w14:textId="77777777" w:rsidR="007C6AD8" w:rsidRDefault="00000000">
      <w:pPr>
        <w:pStyle w:val="CaseBody"/>
      </w:pPr>
      <w:r>
        <w:t>Clearview AI built a facial-recognition database by scraping billions of images from public websites and social media without consent, then sold search access to law-enforcement agencies. Multiple jurisdictions — including a 2022 UK Information Commissioner’s Office fine (later overturned on jurisdictional grounds but re-litigated) and a landmark Illinois Biometric Information Privacy Act settlement — found the practice violated data-protection and biometric-privacy law even though the underlying technology was, from a pure engineering standpoint, effective. The case is instructive precisely because it shows a governance failure that has nothing to do with model accuracy: the technology worked as intended, and the failure was entirely in the absence of any consent framework or legal basis for the underlying data collection — a reminder that “does the AI system work” and “is the AI system governed appropriately” are separate questions, and a board evaluating AI risk needs to ask both.</w:t>
      </w:r>
    </w:p>
    <w:p w14:paraId="0D999AD5" w14:textId="77777777" w:rsidR="007C6AD8" w:rsidRDefault="00000000">
      <w:pPr>
        <w:pStyle w:val="Heading2"/>
      </w:pPr>
      <w:bookmarkStart w:id="45" w:name="Xd6cacbeb9b088b3b62858360524455f7736776b"/>
      <w:r>
        <w:t>Appendix B — Extending the Measurement Section</w:t>
      </w:r>
      <w:bookmarkEnd w:id="45"/>
    </w:p>
    <w:p w14:paraId="58D58DA2" w14:textId="77777777" w:rsidR="007C6AD8" w:rsidRDefault="00000000">
      <w:pPr>
        <w:pStyle w:val="Heading3"/>
      </w:pPr>
      <w:bookmarkStart w:id="46" w:name="X0281756a1b9fb6b3260c845ca3becc34a58e069"/>
      <w:r>
        <w:t>B.1 Additional Rating Agencies: LSEG (Refinitiv) and S&amp;P Global CSA</w:t>
      </w:r>
      <w:bookmarkEnd w:id="46"/>
    </w:p>
    <w:p w14:paraId="13A758CB" w14:textId="77777777" w:rsidR="007C6AD8" w:rsidRDefault="00000000">
      <w:pPr>
        <w:pStyle w:val="FirstParagraph"/>
      </w:pPr>
      <w:r>
        <w:t xml:space="preserve">Beyond MSCI and Sustainalytics, two other frameworks matter for a complete measurement picture. </w:t>
      </w:r>
      <w:r>
        <w:rPr>
          <w:b/>
        </w:rPr>
        <w:t>LSEG (formerly Refinitiv) ESG Scores</w:t>
      </w:r>
      <w:r>
        <w:t xml:space="preserve"> are built almost entirely from company-reported and publicly available data across roughly 630 individual metrics, rolled up into ten category scores and an overall score and letter grade — a transparent, disclosure-driven methodology that rewards companies for reporting more, which critics note can favor large, well-resourced disclosers over smaller companies with genuinely strong practices but thinner reporting infrastructure. The </w:t>
      </w:r>
      <w:r>
        <w:rPr>
          <w:b/>
        </w:rPr>
        <w:t>S&amp;P Global Corporate Sustainability Assessment (CSA)</w:t>
      </w:r>
      <w:r>
        <w:t xml:space="preserve"> — the methodology underlying the Dow Jones Sustainability Index that Koç Holding has long been part of — uses a detailed annual company questionnaire supplemented by media and controversy analysis, and is generally considered among the more rigorous, industry-specific methodologies precisely because of its questionnaire depth, which is also why CSA/DJSI inclusion is treated as a credible governance signal in Section 5.1 above rather than a marketing claim.</w:t>
      </w:r>
    </w:p>
    <w:p w14:paraId="16062E87" w14:textId="77777777" w:rsidR="007C6AD8" w:rsidRDefault="00000000">
      <w:pPr>
        <w:pStyle w:val="Heading3"/>
      </w:pPr>
      <w:bookmarkStart w:id="47" w:name="Xdc2b533f6b1c088d3af92adb7172430517378fb"/>
      <w:r>
        <w:t>B.2 A Worked Numerical Example of the Scorecard Method</w:t>
      </w:r>
      <w:bookmarkEnd w:id="47"/>
    </w:p>
    <w:p w14:paraId="0633AF2A" w14:textId="77777777" w:rsidR="007C6AD8" w:rsidRDefault="00000000">
      <w:pPr>
        <w:pStyle w:val="FirstParagraph"/>
      </w:pPr>
      <w:r>
        <w:t>To make Section 3.3’s method concrete, consider a simplified application to an illustrative industrial holding company (structured on the pattern of Koç Holding’s diversified portfolio, for teaching purposes):</w:t>
      </w:r>
    </w:p>
    <w:tbl>
      <w:tblPr>
        <w:tblStyle w:val="Table"/>
        <w:tblW w:w="9360" w:type="dxa"/>
        <w:tblInd w:w="108" w:type="dxa"/>
        <w:tblLayout w:type="fixed"/>
        <w:tblLook w:val="07E0" w:firstRow="1" w:lastRow="1" w:firstColumn="1" w:lastColumn="1" w:noHBand="1" w:noVBand="1"/>
      </w:tblPr>
      <w:tblGrid>
        <w:gridCol w:w="2340"/>
        <w:gridCol w:w="2340"/>
        <w:gridCol w:w="2340"/>
        <w:gridCol w:w="2340"/>
      </w:tblGrid>
      <w:tr w:rsidR="007C6AD8" w14:paraId="481C0CEC" w14:textId="77777777">
        <w:tc>
          <w:tcPr>
            <w:tcW w:w="2340" w:type="dxa"/>
            <w:tcBorders>
              <w:bottom w:val="single" w:sz="0" w:space="0" w:color="auto"/>
            </w:tcBorders>
            <w:shd w:val="clear" w:color="auto" w:fill="1F3864"/>
            <w:vAlign w:val="bottom"/>
          </w:tcPr>
          <w:p w14:paraId="07D381A1" w14:textId="77777777" w:rsidR="007C6AD8" w:rsidRDefault="00000000">
            <w:pPr>
              <w:pStyle w:val="Compact"/>
            </w:pPr>
            <w:r>
              <w:rPr>
                <w:b/>
                <w:color w:val="FFFFFF"/>
              </w:rPr>
              <w:t>Material issue</w:t>
            </w:r>
          </w:p>
        </w:tc>
        <w:tc>
          <w:tcPr>
            <w:tcW w:w="2340" w:type="dxa"/>
            <w:tcBorders>
              <w:bottom w:val="single" w:sz="0" w:space="0" w:color="auto"/>
            </w:tcBorders>
            <w:shd w:val="clear" w:color="auto" w:fill="1F3864"/>
            <w:vAlign w:val="bottom"/>
          </w:tcPr>
          <w:p w14:paraId="5820A6C6" w14:textId="77777777" w:rsidR="007C6AD8" w:rsidRDefault="00000000">
            <w:pPr>
              <w:pStyle w:val="Compact"/>
            </w:pPr>
            <w:r>
              <w:rPr>
                <w:b/>
                <w:color w:val="FFFFFF"/>
              </w:rPr>
              <w:t>Financial materiality (1–5)</w:t>
            </w:r>
          </w:p>
        </w:tc>
        <w:tc>
          <w:tcPr>
            <w:tcW w:w="2340" w:type="dxa"/>
            <w:tcBorders>
              <w:bottom w:val="single" w:sz="0" w:space="0" w:color="auto"/>
            </w:tcBorders>
            <w:shd w:val="clear" w:color="auto" w:fill="1F3864"/>
            <w:vAlign w:val="bottom"/>
          </w:tcPr>
          <w:p w14:paraId="77AAD6FD" w14:textId="77777777" w:rsidR="007C6AD8" w:rsidRDefault="00000000">
            <w:pPr>
              <w:pStyle w:val="Compact"/>
            </w:pPr>
            <w:r>
              <w:rPr>
                <w:b/>
                <w:color w:val="FFFFFF"/>
              </w:rPr>
              <w:t>Impact materiality (1–5)</w:t>
            </w:r>
          </w:p>
        </w:tc>
        <w:tc>
          <w:tcPr>
            <w:tcW w:w="2340" w:type="dxa"/>
            <w:tcBorders>
              <w:bottom w:val="single" w:sz="0" w:space="0" w:color="auto"/>
            </w:tcBorders>
            <w:shd w:val="clear" w:color="auto" w:fill="1F3864"/>
            <w:vAlign w:val="bottom"/>
          </w:tcPr>
          <w:p w14:paraId="700698AD" w14:textId="77777777" w:rsidR="007C6AD8" w:rsidRDefault="00000000">
            <w:pPr>
              <w:pStyle w:val="Compact"/>
            </w:pPr>
            <w:r>
              <w:rPr>
                <w:b/>
                <w:color w:val="FFFFFF"/>
              </w:rPr>
              <w:t>Governance quality note</w:t>
            </w:r>
          </w:p>
        </w:tc>
      </w:tr>
      <w:tr w:rsidR="007C6AD8" w14:paraId="3C795D68" w14:textId="77777777">
        <w:tc>
          <w:tcPr>
            <w:tcW w:w="2340" w:type="dxa"/>
          </w:tcPr>
          <w:p w14:paraId="77289F1C" w14:textId="77777777" w:rsidR="007C6AD8" w:rsidRDefault="00000000">
            <w:pPr>
              <w:pStyle w:val="Compact"/>
            </w:pPr>
            <w:r>
              <w:t>Carbon transition / emissions</w:t>
            </w:r>
          </w:p>
        </w:tc>
        <w:tc>
          <w:tcPr>
            <w:tcW w:w="2340" w:type="dxa"/>
          </w:tcPr>
          <w:p w14:paraId="6C6CEC28" w14:textId="77777777" w:rsidR="007C6AD8" w:rsidRDefault="00000000">
            <w:pPr>
              <w:pStyle w:val="Compact"/>
            </w:pPr>
            <w:r>
              <w:t>5</w:t>
            </w:r>
          </w:p>
        </w:tc>
        <w:tc>
          <w:tcPr>
            <w:tcW w:w="2340" w:type="dxa"/>
          </w:tcPr>
          <w:p w14:paraId="29ACA575" w14:textId="77777777" w:rsidR="007C6AD8" w:rsidRDefault="00000000">
            <w:pPr>
              <w:pStyle w:val="Compact"/>
            </w:pPr>
            <w:r>
              <w:t>5</w:t>
            </w:r>
          </w:p>
        </w:tc>
        <w:tc>
          <w:tcPr>
            <w:tcW w:w="2340" w:type="dxa"/>
          </w:tcPr>
          <w:p w14:paraId="5F5434C5" w14:textId="77777777" w:rsidR="007C6AD8" w:rsidRDefault="00000000">
            <w:pPr>
              <w:pStyle w:val="Compact"/>
            </w:pPr>
            <w:r>
              <w:t>Committee-level oversight confirmed; multi-year DJSI-grade disclosure</w:t>
            </w:r>
          </w:p>
        </w:tc>
      </w:tr>
      <w:tr w:rsidR="007C6AD8" w14:paraId="426C6CD2" w14:textId="77777777">
        <w:tc>
          <w:tcPr>
            <w:tcW w:w="2340" w:type="dxa"/>
          </w:tcPr>
          <w:p w14:paraId="17013194" w14:textId="77777777" w:rsidR="007C6AD8" w:rsidRDefault="00000000">
            <w:pPr>
              <w:pStyle w:val="Compact"/>
            </w:pPr>
            <w:r>
              <w:t>Supply-chain labor practices</w:t>
            </w:r>
          </w:p>
        </w:tc>
        <w:tc>
          <w:tcPr>
            <w:tcW w:w="2340" w:type="dxa"/>
          </w:tcPr>
          <w:p w14:paraId="23D7C998" w14:textId="77777777" w:rsidR="007C6AD8" w:rsidRDefault="00000000">
            <w:pPr>
              <w:pStyle w:val="Compact"/>
            </w:pPr>
            <w:r>
              <w:t>3</w:t>
            </w:r>
          </w:p>
        </w:tc>
        <w:tc>
          <w:tcPr>
            <w:tcW w:w="2340" w:type="dxa"/>
          </w:tcPr>
          <w:p w14:paraId="285D82FE" w14:textId="77777777" w:rsidR="007C6AD8" w:rsidRDefault="00000000">
            <w:pPr>
              <w:pStyle w:val="Compact"/>
            </w:pPr>
            <w:r>
              <w:t>4</w:t>
            </w:r>
          </w:p>
        </w:tc>
        <w:tc>
          <w:tcPr>
            <w:tcW w:w="2340" w:type="dxa"/>
          </w:tcPr>
          <w:p w14:paraId="26771BA6" w14:textId="77777777" w:rsidR="007C6AD8" w:rsidRDefault="00000000">
            <w:pPr>
              <w:pStyle w:val="Compact"/>
            </w:pPr>
            <w:r>
              <w:t>Supplier code exists; audit depth not independently verifiable</w:t>
            </w:r>
          </w:p>
        </w:tc>
      </w:tr>
      <w:tr w:rsidR="007C6AD8" w14:paraId="45B54DA0" w14:textId="77777777">
        <w:tc>
          <w:tcPr>
            <w:tcW w:w="2340" w:type="dxa"/>
          </w:tcPr>
          <w:p w14:paraId="549792FF" w14:textId="77777777" w:rsidR="007C6AD8" w:rsidRDefault="00000000">
            <w:pPr>
              <w:pStyle w:val="Compact"/>
            </w:pPr>
            <w:r>
              <w:t>Data privacy and AI use</w:t>
            </w:r>
          </w:p>
        </w:tc>
        <w:tc>
          <w:tcPr>
            <w:tcW w:w="2340" w:type="dxa"/>
          </w:tcPr>
          <w:p w14:paraId="55EF3141" w14:textId="77777777" w:rsidR="007C6AD8" w:rsidRDefault="00000000">
            <w:pPr>
              <w:pStyle w:val="Compact"/>
            </w:pPr>
            <w:r>
              <w:t>4</w:t>
            </w:r>
          </w:p>
        </w:tc>
        <w:tc>
          <w:tcPr>
            <w:tcW w:w="2340" w:type="dxa"/>
          </w:tcPr>
          <w:p w14:paraId="544164AD" w14:textId="77777777" w:rsidR="007C6AD8" w:rsidRDefault="00000000">
            <w:pPr>
              <w:pStyle w:val="Compact"/>
            </w:pPr>
            <w:r>
              <w:t>3</w:t>
            </w:r>
          </w:p>
        </w:tc>
        <w:tc>
          <w:tcPr>
            <w:tcW w:w="2340" w:type="dxa"/>
          </w:tcPr>
          <w:p w14:paraId="6BC0276C" w14:textId="77777777" w:rsidR="007C6AD8" w:rsidRDefault="00000000">
            <w:pPr>
              <w:pStyle w:val="Compact"/>
            </w:pPr>
            <w:r>
              <w:t xml:space="preserve">No named AI governance committee; policy-level </w:t>
            </w:r>
            <w:r>
              <w:lastRenderedPageBreak/>
              <w:t>statements only</w:t>
            </w:r>
          </w:p>
        </w:tc>
      </w:tr>
      <w:tr w:rsidR="007C6AD8" w14:paraId="207F1DA3" w14:textId="77777777">
        <w:tc>
          <w:tcPr>
            <w:tcW w:w="2340" w:type="dxa"/>
          </w:tcPr>
          <w:p w14:paraId="576FC279" w14:textId="77777777" w:rsidR="007C6AD8" w:rsidRDefault="00000000">
            <w:pPr>
              <w:pStyle w:val="Compact"/>
            </w:pPr>
            <w:r>
              <w:lastRenderedPageBreak/>
              <w:t>Board independence and diversity</w:t>
            </w:r>
          </w:p>
        </w:tc>
        <w:tc>
          <w:tcPr>
            <w:tcW w:w="2340" w:type="dxa"/>
          </w:tcPr>
          <w:p w14:paraId="75848381" w14:textId="77777777" w:rsidR="007C6AD8" w:rsidRDefault="00000000">
            <w:pPr>
              <w:pStyle w:val="Compact"/>
            </w:pPr>
            <w:r>
              <w:t>4</w:t>
            </w:r>
          </w:p>
        </w:tc>
        <w:tc>
          <w:tcPr>
            <w:tcW w:w="2340" w:type="dxa"/>
          </w:tcPr>
          <w:p w14:paraId="77B5ED1D" w14:textId="77777777" w:rsidR="007C6AD8" w:rsidRDefault="00000000">
            <w:pPr>
              <w:pStyle w:val="Compact"/>
            </w:pPr>
            <w:r>
              <w:t>2</w:t>
            </w:r>
          </w:p>
        </w:tc>
        <w:tc>
          <w:tcPr>
            <w:tcW w:w="2340" w:type="dxa"/>
          </w:tcPr>
          <w:p w14:paraId="1956581D" w14:textId="77777777" w:rsidR="007C6AD8" w:rsidRDefault="00000000">
            <w:pPr>
              <w:pStyle w:val="Compact"/>
            </w:pPr>
            <w:r>
              <w:t>Majority-independent board; family-holding structure noted</w:t>
            </w:r>
          </w:p>
        </w:tc>
      </w:tr>
      <w:tr w:rsidR="007C6AD8" w14:paraId="6F920186" w14:textId="77777777">
        <w:tc>
          <w:tcPr>
            <w:tcW w:w="2340" w:type="dxa"/>
          </w:tcPr>
          <w:p w14:paraId="47A0CC88" w14:textId="77777777" w:rsidR="007C6AD8" w:rsidRDefault="00000000">
            <w:pPr>
              <w:pStyle w:val="Compact"/>
            </w:pPr>
            <w:r>
              <w:t>Community and local-impact issues</w:t>
            </w:r>
          </w:p>
        </w:tc>
        <w:tc>
          <w:tcPr>
            <w:tcW w:w="2340" w:type="dxa"/>
          </w:tcPr>
          <w:p w14:paraId="7ED360D5" w14:textId="77777777" w:rsidR="007C6AD8" w:rsidRDefault="00000000">
            <w:pPr>
              <w:pStyle w:val="Compact"/>
            </w:pPr>
            <w:r>
              <w:t>2</w:t>
            </w:r>
          </w:p>
        </w:tc>
        <w:tc>
          <w:tcPr>
            <w:tcW w:w="2340" w:type="dxa"/>
          </w:tcPr>
          <w:p w14:paraId="0E36CD02" w14:textId="77777777" w:rsidR="007C6AD8" w:rsidRDefault="00000000">
            <w:pPr>
              <w:pStyle w:val="Compact"/>
            </w:pPr>
            <w:r>
              <w:t>3</w:t>
            </w:r>
          </w:p>
        </w:tc>
        <w:tc>
          <w:tcPr>
            <w:tcW w:w="2340" w:type="dxa"/>
          </w:tcPr>
          <w:p w14:paraId="6763827E" w14:textId="77777777" w:rsidR="007C6AD8" w:rsidRDefault="00000000">
            <w:pPr>
              <w:pStyle w:val="Compact"/>
            </w:pPr>
            <w:r>
              <w:t>Reported at aggregate group level, not site-level</w:t>
            </w:r>
          </w:p>
        </w:tc>
      </w:tr>
    </w:tbl>
    <w:p w14:paraId="4F516525" w14:textId="77777777" w:rsidR="007C6AD8" w:rsidRDefault="00000000">
      <w:pPr>
        <w:pStyle w:val="BodyText"/>
      </w:pPr>
      <w:r>
        <w:t>Reading this table the way Section 3.3 recommends — as a memo, not a single number — the analyst’s conclusion would be: strong, verifiable governance on the highest-materiality issue (carbon transition), a plausible but not fully verifiable claim on supply-chain labor, and a real, specific gap on AI governance relative to the company’s AI exposure — precisely the pattern this reader documents for all three running Turkish cases in Part V.</w:t>
      </w:r>
    </w:p>
    <w:p w14:paraId="00A212D7" w14:textId="77777777" w:rsidR="007C6AD8" w:rsidRDefault="00000000">
      <w:pPr>
        <w:pStyle w:val="Heading3"/>
      </w:pPr>
      <w:bookmarkStart w:id="48" w:name="X08d5b2d09304a229346324976fea6f67065229c"/>
      <w:r>
        <w:t>B.3 Known Measurement Problems Beyond Rater Divergence</w:t>
      </w:r>
      <w:bookmarkEnd w:id="48"/>
    </w:p>
    <w:p w14:paraId="64B95FC6" w14:textId="77777777" w:rsidR="007C6AD8" w:rsidRDefault="00000000">
      <w:pPr>
        <w:pStyle w:val="FirstParagraph"/>
      </w:pPr>
      <w:r>
        <w:t xml:space="preserve">Three additional, well-documented measurement problems deserve a board’s attention alongside rater divergence. </w:t>
      </w:r>
      <w:r>
        <w:rPr>
          <w:b/>
        </w:rPr>
        <w:t>Survivorship and disclosure-selection bias</w:t>
      </w:r>
      <w:r>
        <w:t xml:space="preserve">: companies that disclose more tend to be larger, more scrutinized, and often already better-governed, meaning cross-company ESG comparisons implicitly compare disclosure discipline as much as underlying performance. </w:t>
      </w:r>
      <w:r>
        <w:rPr>
          <w:b/>
        </w:rPr>
        <w:t>Backward-looking data</w:t>
      </w:r>
      <w:r>
        <w:t xml:space="preserve">: most ESG scores are built substantially on the prior year’s annual report, meaning a rating can lag a material deterioration (or improvement) in practice by twelve months or more — a live current controversy, as recommended in Section 3.3, should always be weighted more heavily than a stale rating. </w:t>
      </w:r>
      <w:r>
        <w:rPr>
          <w:b/>
        </w:rPr>
        <w:t>Modeled versus reported data</w:t>
      </w:r>
      <w:r>
        <w:t>: when a company does not disclose a specific metric, several raters fill the gap with an industry-average estimate rather than leaving it blank, which can produce a score that looks precise but is partly synthetic — a detail worth asking about directly when a rating matters for a real investment or lending decision.</w:t>
      </w:r>
    </w:p>
    <w:p w14:paraId="369C2C70" w14:textId="77777777" w:rsidR="007C6AD8" w:rsidRDefault="00000000">
      <w:pPr>
        <w:pStyle w:val="Heading2"/>
      </w:pPr>
      <w:bookmarkStart w:id="49" w:name="Xfddccb0a37e69298ff1c1103bdc54e00bf3d40f"/>
      <w:r>
        <w:t>Appendix C — Extending the Value-Created Discussion</w:t>
      </w:r>
      <w:bookmarkEnd w:id="49"/>
    </w:p>
    <w:p w14:paraId="20618D25" w14:textId="77777777" w:rsidR="007C6AD8" w:rsidRDefault="00000000">
      <w:pPr>
        <w:pStyle w:val="Heading3"/>
      </w:pPr>
      <w:bookmarkStart w:id="50" w:name="Xa02115bdfbc081c6015eac0e3c038578a667ebb"/>
      <w:r>
        <w:t>C.1 Cost of Capital: What the Evidence Actually Shows</w:t>
      </w:r>
      <w:bookmarkEnd w:id="50"/>
    </w:p>
    <w:p w14:paraId="597090B8" w14:textId="77777777" w:rsidR="007C6AD8" w:rsidRDefault="00000000">
      <w:pPr>
        <w:pStyle w:val="FirstParagraph"/>
      </w:pPr>
      <w:r>
        <w:t xml:space="preserve">Beyond the general finding that weaker-governed companies pay more for capital, several more specific patterns are worth knowing. Green and sustainability-linked bonds — including Turkish issuances such as Yapı Kredi’s blue bond, tied to marine and water-resource projects — have in some cases priced with a modest “greenium” (a slightly lower yield than a conventional equivalent bond from the same issuer), reflecting dedicated investor demand for labeled sustainable debt; the effect is real but small, typically single-digit basis points, and should not be oversold as a major financing advantage on its own. More economically significant is the </w:t>
      </w:r>
      <w:r>
        <w:rPr>
          <w:i/>
        </w:rPr>
        <w:t>avoided cost</w:t>
      </w:r>
      <w:r>
        <w:t xml:space="preserve"> side: companies that have experienced a governance-driven credit-rating downgrade (following a major scandal or regulatory enforcement action) have in documented cases faced borrowing-cost increases of 50–150 basis points or more on subsequent issuance — an order of magnitude larger than any observed “greenium,” which is why this reader treats risk-mitigation, not yield enhancement, as the stronger and better-evidenced value channel.</w:t>
      </w:r>
    </w:p>
    <w:p w14:paraId="4E6CB93C" w14:textId="77777777" w:rsidR="007C6AD8" w:rsidRDefault="00000000">
      <w:pPr>
        <w:pStyle w:val="Heading3"/>
      </w:pPr>
      <w:bookmarkStart w:id="51" w:name="X295f205c8a8beb9fa813efa48dda0bd23ee71c8"/>
      <w:r>
        <w:t>C.2 ESG-Linked Executive Compensation: Design Choices and Governance Implications</w:t>
      </w:r>
      <w:bookmarkEnd w:id="51"/>
    </w:p>
    <w:p w14:paraId="3C0B1D32" w14:textId="77777777" w:rsidR="007C6AD8" w:rsidRDefault="00000000">
      <w:pPr>
        <w:pStyle w:val="FirstParagraph"/>
      </w:pPr>
      <w:r>
        <w:t xml:space="preserve">A growing share of large-company compensation plans now tie some portion of executive pay to ESG metrics (emissions reduction, safety incidents, diversity representation, or increasingly, responsible-AI-deployment metrics). The governance quality of these plans varies enormously in practice: the strongest designs use specific, externally-verifiable metrics with real payout consequence at the same weight as financial metrics; the weakest use vague, easily-achieved targets worth a small fraction of total compensation, functioning more as a public-relations gesture than a genuine incentive-alignment tool. A useful diligence question for any of the three Turkish running cases, or </w:t>
      </w:r>
      <w:r>
        <w:lastRenderedPageBreak/>
        <w:t>any company being evaluated, is not “do they have ESG-linked pay” but “what specific metric, what weight, and is it independently verifiable” — the same discipline Section 3.3’s scorecard method recommends applied to compensation design specifically.</w:t>
      </w:r>
    </w:p>
    <w:p w14:paraId="116BDE4F" w14:textId="77777777" w:rsidR="007C6AD8" w:rsidRDefault="00000000">
      <w:pPr>
        <w:pStyle w:val="Heading3"/>
      </w:pPr>
      <w:bookmarkStart w:id="52" w:name="Xbc0a09d7b01518c3fa1f710e3aba224de34a72c"/>
      <w:r>
        <w:t>C.3 A Balanced Closing Statement on Value</w:t>
      </w:r>
      <w:bookmarkEnd w:id="52"/>
    </w:p>
    <w:p w14:paraId="723C39B0" w14:textId="77777777" w:rsidR="007C6AD8" w:rsidRDefault="00000000">
      <w:pPr>
        <w:pStyle w:val="FirstParagraph"/>
      </w:pPr>
      <w:r>
        <w:t>Holding Sections 4.1 through 4.4 and this appendix together, the fair summary for course purposes is: governance quality (the “G,” and increasingly AI governance alongside it) has the most consistent evidence of financial value through risk mitigation and cost-of-capital effects; environmental and social performance show a positive but noisier and more context-dependent relationship with financial performance, heavily sensitive to which rating is used and which time horizon is studied; and “ESG” as a marketed financial-product label has, in several well-documented cases, actively diverged from the underlying operating-company evidence in ways that have drawn direct regulatory enforcement. A board or an analyst who understands this distinction is far better equipped to make an actual investment or governance decision than one working from a single aggregated ESG score or a general belief that “ESG pays” or “ESG doesn’t matter.”</w:t>
      </w:r>
    </w:p>
    <w:p w14:paraId="0B7E0F99" w14:textId="77777777" w:rsidR="007C6AD8" w:rsidRDefault="00000000">
      <w:pPr>
        <w:pStyle w:val="Heading2"/>
      </w:pPr>
      <w:bookmarkStart w:id="53" w:name="X0b884941f0ba8833ec91a48ca02469f5ff9328e"/>
      <w:r>
        <w:t>Appendix D — Additional Turkish Sector Context: Telecom and Banking</w:t>
      </w:r>
      <w:bookmarkEnd w:id="53"/>
    </w:p>
    <w:p w14:paraId="7E292164" w14:textId="77777777" w:rsidR="007C6AD8" w:rsidRDefault="00000000">
      <w:pPr>
        <w:pStyle w:val="Heading3"/>
      </w:pPr>
      <w:bookmarkStart w:id="54" w:name="X11c9eabf4509e9efbfb2ea00b1f042cb0e8f288"/>
      <w:r>
        <w:t>D.1 Turkcell: A Technology-Sector Comparison Point</w:t>
      </w:r>
      <w:bookmarkEnd w:id="54"/>
    </w:p>
    <w:p w14:paraId="0AF2FE1B" w14:textId="77777777" w:rsidR="007C6AD8" w:rsidRDefault="00000000">
      <w:pPr>
        <w:pStyle w:val="FirstParagraph"/>
      </w:pPr>
      <w:r>
        <w:t>Turkcell, Türkiye’s largest mobile operator, is a useful contrast to the three running cases precisely because it is a technology company rather than an industrial holding, which changes the AI-governance baseline expectation. As a telecom operator running large-scale network optimization, customer-churn prediction, and increasingly generative-AI customer-service tools, Turkcell’s AI exposure is closer in kind to Microsoft’s (Section 2.6) than to THY’s or Koç’s — meaning the absence of a clearly disclosed, board-level AI governance structure is a sharper gap for a technology company than for an industrial holding with more limited AI deployment, even though Turkcell’s general ESG disclosure practice (energy efficiency in network operations, e-waste programs) is broadly comparable to the other Turkish large-caps profiled here. The comparison illustrates a general principle worth restating from Section 3.3: AI-governance maturity should always be benchmarked against a company’s actual AI exposure, not against a flat industry average — a telecom operator and an industrial conglomerate do not need the same AI governance intensity to be equally well-governed relative to their own risk.</w:t>
      </w:r>
    </w:p>
    <w:p w14:paraId="270B0031" w14:textId="77777777" w:rsidR="007C6AD8" w:rsidRDefault="00000000">
      <w:pPr>
        <w:pStyle w:val="Heading3"/>
      </w:pPr>
      <w:bookmarkStart w:id="55" w:name="X23036ce9551957a5ac8cde64d4aa977e69ad8ed"/>
      <w:r>
        <w:t>D.2 Garanti BBVA: A Financial-Sector Regulatory Overlay</w:t>
      </w:r>
      <w:bookmarkEnd w:id="55"/>
    </w:p>
    <w:p w14:paraId="6C131BFC" w14:textId="77777777" w:rsidR="007C6AD8" w:rsidRDefault="00000000">
      <w:pPr>
        <w:pStyle w:val="FirstParagraph"/>
      </w:pPr>
      <w:r>
        <w:t>Garanti BBVA sits under a different, additional layer of oversight that Koç, Sabancı, and THY do not: banking regulation, including BRSA (Türkiye’s Banking Regulation and Supervision Agency) requirements and, through its BBVA parent relationship, exposure to EU banking-sector expectations on model risk management for any AI-driven credit-scoring or fraud-detection systems. This is a useful teaching point on jurisdictional layering: a Turkish bank’s AI governance obligations are shaped simultaneously by domestic BRSA supervision, sector-specific model-risk-management expectations common to banking globally (stress-testing and validation requirements that predate the AI Act by years, originally built for statistical credit models), and — through group relationships — potentially EU-adjacent expectations as well. Boards evaluating AI governance at a regulated financial institution should expect, and look for, more mature model-governance infrastructure than at an unregulated industrial company, because banking supervisors have required rigorous model validation and documentation since long before “AI governance” became a distinct discipline.</w:t>
      </w:r>
    </w:p>
    <w:p w14:paraId="342577A0" w14:textId="77777777" w:rsidR="007C6AD8" w:rsidRDefault="00000000">
      <w:pPr>
        <w:pStyle w:val="Heading2"/>
      </w:pPr>
      <w:bookmarkStart w:id="56" w:name="appendix-e-ai-regulation-beyond-the-eu"/>
      <w:r>
        <w:lastRenderedPageBreak/>
        <w:t>Appendix E — AI Regulation Beyond the EU</w:t>
      </w:r>
      <w:bookmarkEnd w:id="56"/>
    </w:p>
    <w:p w14:paraId="1C6B1051" w14:textId="77777777" w:rsidR="007C6AD8" w:rsidRDefault="00000000">
      <w:pPr>
        <w:pStyle w:val="Heading3"/>
      </w:pPr>
      <w:bookmarkStart w:id="57" w:name="Xec834124bd3e23ba98435be23dbda166a7c127c"/>
      <w:r>
        <w:t>E.1 The United States: A Fragmented, State-and-Litigation-Led Model</w:t>
      </w:r>
      <w:bookmarkEnd w:id="57"/>
    </w:p>
    <w:p w14:paraId="525DA913" w14:textId="77777777" w:rsidR="007C6AD8" w:rsidRDefault="00000000">
      <w:pPr>
        <w:pStyle w:val="FirstParagraph"/>
      </w:pPr>
      <w:r>
        <w:t>The U.S. has no single comprehensive federal AI law comparable to the EU AI Act. Instead, governance pressure comes from a patchwork: state-level legislation (Colorado’s AI Act, California’s various AI-specific bills, and other state consumer-protection and biometric-privacy statutes such as Illinois’s BIPA, central to the Clearview AI case above), sector-specific federal agency guidance (the EEOC on AI-driven hiring discrimination, the FTC on unfair-or-deceptive AI claims), and an increasing volume of private litigation that functions as a de facto enforcement mechanism in the absence of a comprehensive statute. For a multinational board, the practical implication is that “U.S. AI compliance” is not a single checklist the way EU AI Act compliance increasingly is — it requires state-by-state and sector-by-sector mapping, and the compliance bar is likely to keep shifting through litigation outcomes rather than a single legislative event over the next two to three years.</w:t>
      </w:r>
    </w:p>
    <w:p w14:paraId="6E2C19D6" w14:textId="77777777" w:rsidR="007C6AD8" w:rsidRDefault="00000000">
      <w:pPr>
        <w:pStyle w:val="Heading3"/>
      </w:pPr>
      <w:bookmarkStart w:id="58" w:name="X3933bb5664bde344527c54ca6dfe4824d667940"/>
      <w:r>
        <w:t>E.2 China: A Sector-Specific, Rapid-Iteration Regulatory Model</w:t>
      </w:r>
      <w:bookmarkEnd w:id="58"/>
    </w:p>
    <w:p w14:paraId="2CE82213" w14:textId="77777777" w:rsidR="007C6AD8" w:rsidRDefault="00000000">
      <w:pPr>
        <w:pStyle w:val="FirstParagraph"/>
      </w:pPr>
      <w:r>
        <w:t>China has moved faster than most jurisdictions on specific AI applications — binding rules on generative AI services (2023), deep synthesis/deepfake content labeling requirements, and algorithmic-recommendation transparency rules for platform companies — each issued as a targeted regulation for a specific technology as it reached mass deployment, rather than as a single comprehensive framework issued in advance. This sector-specific, iterative approach is faster to issue than the EU’s comprehensive-framework model but can create less predictability for a company trying to plan multi-year AI investment, since new binding rules can appear with limited lead time whenever a new AI application category reaches regulatory attention.</w:t>
      </w:r>
    </w:p>
    <w:p w14:paraId="60700C24" w14:textId="77777777" w:rsidR="007C6AD8" w:rsidRDefault="00000000">
      <w:pPr>
        <w:pStyle w:val="Heading3"/>
      </w:pPr>
      <w:bookmarkStart w:id="59" w:name="X757fd5de7cecbdd7bcc74bcfba2013d0a11f3e2"/>
      <w:r>
        <w:t>E.3 The United Kingdom: A Principles-Based, Regulator-Led Model</w:t>
      </w:r>
      <w:bookmarkEnd w:id="59"/>
    </w:p>
    <w:p w14:paraId="458EA7BB" w14:textId="77777777" w:rsidR="007C6AD8" w:rsidRDefault="00000000">
      <w:pPr>
        <w:pStyle w:val="FirstParagraph"/>
      </w:pPr>
      <w:r>
        <w:t>The UK has explicitly rejected the EU’s single comprehensive-statute approach in favor of asking existing sector regulators (the Financial Conduct Authority, the Information Commissioner’s Office, the Competition and Markets Authority) to apply five cross-cutting AI principles — safety, transparency, fairness, accountability, and contestability — within their existing sectoral authority. This is a deliberate bet that existing regulators understand their sectors’ AI risk better than a new central AI regulator would, at the cost of less uniform treatment of the same underlying technology across different sectors. For a board operating across the EU, U.S., UK, and China simultaneously, the honest 2026–2028 planning assumption is continued divergence, not convergence, across these four models — a company the size of THY, Koç, or Sabancı with international operations should expect to maintain separate compliance tracking for each, not a single global AI-governance policy.</w:t>
      </w:r>
    </w:p>
    <w:p w14:paraId="0CC584EF" w14:textId="77777777" w:rsidR="007C6AD8" w:rsidRDefault="00000000">
      <w:pPr>
        <w:pStyle w:val="Heading2"/>
      </w:pPr>
      <w:bookmarkStart w:id="60" w:name="X31af8311457771e339311673fc2332b5a12e954"/>
      <w:r>
        <w:t>Appendix F — A Board-Level AI Governance Checklist</w:t>
      </w:r>
      <w:bookmarkEnd w:id="60"/>
    </w:p>
    <w:p w14:paraId="108969B1" w14:textId="77777777" w:rsidR="007C6AD8" w:rsidRDefault="00000000">
      <w:pPr>
        <w:pStyle w:val="FirstParagraph"/>
      </w:pPr>
      <w:r>
        <w:t>A practical, minimum checklist for a board assessing its own AI governance maturity, consistent with the NIST AI RMF’s Govern-Map-Measure-Manage structure introduced in Section 3.4:</w:t>
      </w:r>
    </w:p>
    <w:p w14:paraId="02A86CDE" w14:textId="77777777" w:rsidR="007C6AD8" w:rsidRDefault="00000000">
      <w:pPr>
        <w:pStyle w:val="Compact"/>
        <w:numPr>
          <w:ilvl w:val="0"/>
          <w:numId w:val="6"/>
        </w:numPr>
      </w:pPr>
      <w:r>
        <w:rPr>
          <w:b/>
        </w:rPr>
        <w:t>Inventory</w:t>
      </w:r>
      <w:r>
        <w:t xml:space="preserve"> — Does the board have a current, complete list of AI systems in production use across the company (including vendor-procured systems, not just internally built ones)?</w:t>
      </w:r>
    </w:p>
    <w:p w14:paraId="126531A8" w14:textId="77777777" w:rsidR="007C6AD8" w:rsidRDefault="00000000">
      <w:pPr>
        <w:pStyle w:val="Compact"/>
        <w:numPr>
          <w:ilvl w:val="0"/>
          <w:numId w:val="6"/>
        </w:numPr>
      </w:pPr>
      <w:r>
        <w:rPr>
          <w:b/>
        </w:rPr>
        <w:t>Ownership</w:t>
      </w:r>
      <w:r>
        <w:t xml:space="preserve"> — Is there a named individual or committee with clear authority over AI risk, distinct from general technology or data governance?</w:t>
      </w:r>
    </w:p>
    <w:p w14:paraId="4F2EA591" w14:textId="77777777" w:rsidR="007C6AD8" w:rsidRDefault="00000000">
      <w:pPr>
        <w:pStyle w:val="Compact"/>
        <w:numPr>
          <w:ilvl w:val="0"/>
          <w:numId w:val="6"/>
        </w:numPr>
      </w:pPr>
      <w:r>
        <w:rPr>
          <w:b/>
        </w:rPr>
        <w:t>Risk tiering</w:t>
      </w:r>
      <w:r>
        <w:t xml:space="preserve"> — Are deployed systems classified by risk level (using the EU AI Act’s tiers, or an equivalent internal framework) with corresponding review intensity?</w:t>
      </w:r>
    </w:p>
    <w:p w14:paraId="4B928A9C" w14:textId="77777777" w:rsidR="007C6AD8" w:rsidRDefault="00000000">
      <w:pPr>
        <w:pStyle w:val="Compact"/>
        <w:numPr>
          <w:ilvl w:val="0"/>
          <w:numId w:val="6"/>
        </w:numPr>
      </w:pPr>
      <w:r>
        <w:rPr>
          <w:b/>
        </w:rPr>
        <w:t>Vendor due diligence</w:t>
      </w:r>
      <w:r>
        <w:t xml:space="preserve"> — For AI systems procured from third parties, does the company have contractual rights to audit, explain, or discontinue the system, and has that right ever actually been exercised?</w:t>
      </w:r>
    </w:p>
    <w:p w14:paraId="4FDC61D5" w14:textId="77777777" w:rsidR="007C6AD8" w:rsidRDefault="00000000">
      <w:pPr>
        <w:pStyle w:val="Compact"/>
        <w:numPr>
          <w:ilvl w:val="0"/>
          <w:numId w:val="6"/>
        </w:numPr>
      </w:pPr>
      <w:r>
        <w:rPr>
          <w:b/>
        </w:rPr>
        <w:lastRenderedPageBreak/>
        <w:t>Incident process</w:t>
      </w:r>
      <w:r>
        <w:t xml:space="preserve"> — Is there a defined escalation path when an AI system produces a harmful, biased, or clearly wrong output, distinct from general IT incident response?</w:t>
      </w:r>
    </w:p>
    <w:p w14:paraId="54A1F614" w14:textId="77777777" w:rsidR="007C6AD8" w:rsidRDefault="00000000">
      <w:pPr>
        <w:pStyle w:val="Compact"/>
        <w:numPr>
          <w:ilvl w:val="0"/>
          <w:numId w:val="6"/>
        </w:numPr>
      </w:pPr>
      <w:r>
        <w:rPr>
          <w:b/>
        </w:rPr>
        <w:t>Regulatory mapping currency</w:t>
      </w:r>
      <w:r>
        <w:t xml:space="preserve"> — Is there an owner responsible for tracking which of the EU AI Act, U.S. state laws, and other applicable regimes apply to which specific deployed system, and is that mapping reviewed at least annually?</w:t>
      </w:r>
    </w:p>
    <w:p w14:paraId="646A44F7" w14:textId="77777777" w:rsidR="007C6AD8" w:rsidRDefault="00000000">
      <w:pPr>
        <w:pStyle w:val="Compact"/>
        <w:numPr>
          <w:ilvl w:val="0"/>
          <w:numId w:val="6"/>
        </w:numPr>
      </w:pPr>
      <w:r>
        <w:rPr>
          <w:b/>
        </w:rPr>
        <w:t>Board reporting</w:t>
      </w:r>
      <w:r>
        <w:t xml:space="preserve"> — Does the full board (not just a technology committee) receive AI-governance updates at a cadence matching the company’s actual pace of AI deployment?</w:t>
      </w:r>
    </w:p>
    <w:p w14:paraId="5BE4A08E" w14:textId="77777777" w:rsidR="007C6AD8" w:rsidRDefault="00000000">
      <w:pPr>
        <w:pStyle w:val="FirstParagraph"/>
      </w:pPr>
      <w:r>
        <w:t xml:space="preserve">An illustrative board AI-oversight committee charter’s purpose clause might read: </w:t>
      </w:r>
      <w:r>
        <w:rPr>
          <w:i/>
        </w:rPr>
        <w:t>“The Committee shall oversee the Company’s development, procurement, and deployment of artificial intelligence systems, including review of associated risks to safety, fairness, legal compliance, and reputation, and shall receive not less than semi-annual reporting on the inventory and risk classification of all such systems.”</w:t>
      </w:r>
      <w:r>
        <w:t xml:space="preserve"> Applying this checklist to Koç, Sabancı, and THY (Part V) is precisely the exercise that would resolve, rather than merely flag, the AI-governance gap identified for all three.</w:t>
      </w:r>
    </w:p>
    <w:p w14:paraId="6CF045D8" w14:textId="77777777" w:rsidR="007C6AD8" w:rsidRDefault="00000000">
      <w:pPr>
        <w:pStyle w:val="Heading2"/>
      </w:pPr>
      <w:bookmarkStart w:id="61" w:name="X1153cc946fea097618a308c7e216b6803888330"/>
      <w:r>
        <w:t>Appendix G — Assurance and Audit of Sustainability Disclosures</w:t>
      </w:r>
      <w:bookmarkEnd w:id="61"/>
    </w:p>
    <w:p w14:paraId="58B45CA3" w14:textId="77777777" w:rsidR="007C6AD8" w:rsidRDefault="00000000">
      <w:pPr>
        <w:pStyle w:val="FirstParagraph"/>
      </w:pPr>
      <w:r>
        <w:t xml:space="preserve">A frequently overlooked measurement question is not what a company discloses, but whether anyone independently checked it. Sustainability disclosures can carry </w:t>
      </w:r>
      <w:r>
        <w:rPr>
          <w:b/>
        </w:rPr>
        <w:t>limited assurance</w:t>
      </w:r>
      <w:r>
        <w:t xml:space="preserve"> (a reviewer states that nothing came to their attention suggesting the disclosure is materially misstated — a lower bar, similar to a financial review) or </w:t>
      </w:r>
      <w:r>
        <w:rPr>
          <w:b/>
        </w:rPr>
        <w:t>reasonable assurance</w:t>
      </w:r>
      <w:r>
        <w:t xml:space="preserve"> (a more extensive, audit-level process providing a positive statement that the disclosure is fairly presented — comparable in rigor to a financial statement audit). Most companies globally, including most large Turkish issuers, currently obtain only limited assurance on sustainability disclosures, if any assurance at all; the EU’s CSRD regime is notable for phasing toward a reasonable-assurance requirement over time, which will meaningfully raise the evidentiary bar for any EU-scoped company’s sustainability claims relative to today’s typical practice. Sustainability assurance is generally performed either by the company’s existing financial auditor (extending the same audit relationship) or by a specialized sustainability-assurance provider, and the choice matters: an analyst or board member reviewing a sustainability report should check not only whether it carries an assurance statement, but which level of assurance, and by whom — the same discipline recommended for reading any single ESG rating in Section 3.2.</w:t>
      </w:r>
    </w:p>
    <w:p w14:paraId="1A52CC15" w14:textId="77777777" w:rsidR="007C6AD8" w:rsidRDefault="00000000">
      <w:pPr>
        <w:pStyle w:val="Heading2"/>
      </w:pPr>
      <w:bookmarkStart w:id="62" w:name="Xb8ff178cc6420589f986de9b05645a1911e9425"/>
      <w:r>
        <w:t>Appendix H — Investor Stewardship and Engagement on ESG and AI-Governance Gaps</w:t>
      </w:r>
      <w:bookmarkEnd w:id="62"/>
    </w:p>
    <w:p w14:paraId="756C068F" w14:textId="77777777" w:rsidR="007C6AD8" w:rsidRDefault="00000000">
      <w:pPr>
        <w:pStyle w:val="FirstParagraph"/>
      </w:pPr>
      <w:r>
        <w:t>Institutional investors increasingly treat governance gaps of the kind identified for Koç, Sabancı, and THY in Part V as engagement priorities rather than only as screening or exclusion criteria. Proxy advisory firms (ISS, Glass Lewis) now routinely issue voting recommendations tied to board diversity, climate-related director expertise, and — increasingly — AI-oversight structure, meaning a company’s annual general meeting voting results are themselves a measurable signal of investor concern, distinct from any third-party rating. A widely cited precedent is Engine No. 1’s 2021 campaign at ExxonMobil, in which a minority shareholder with roughly a 0.02% stake successfully placed three independent directors focused on energy-transition strategy on the board, by winning support from large index-fund shareholders (BlackRock, Vanguard, State Street) who agreed the existing board lacked relevant climate expertise — demonstrating that even a very small activist stake can force governance change when it successfully makes the case to the company’s largest passive shareholders. For Turkish issuers with meaningful foreign institutional ownership, the same dynamic applies in principle: a persistent, well-documented AI-governance gap of the kind described in Part V is a plausible future engagement or proxy-voting target, not merely an academic observation, as international index funds extend the same stewardship expectations across their global holdings.</w:t>
      </w:r>
    </w:p>
    <w:p w14:paraId="4C44A059" w14:textId="77777777" w:rsidR="007C6AD8" w:rsidRDefault="00000000">
      <w:pPr>
        <w:pStyle w:val="Heading2"/>
      </w:pPr>
      <w:bookmarkStart w:id="63" w:name="X9adbb41341c10c535ee416102f8f7464d5609f2"/>
      <w:r>
        <w:lastRenderedPageBreak/>
        <w:t>Appendix I — A Consolidated Chronology of Milestones Referenced in This Reader</w:t>
      </w:r>
      <w:bookmarkEnd w:id="63"/>
    </w:p>
    <w:tbl>
      <w:tblPr>
        <w:tblStyle w:val="Table"/>
        <w:tblW w:w="9360" w:type="dxa"/>
        <w:tblInd w:w="108" w:type="dxa"/>
        <w:tblLayout w:type="fixed"/>
        <w:tblLook w:val="07E0" w:firstRow="1" w:lastRow="1" w:firstColumn="1" w:lastColumn="1" w:noHBand="1" w:noVBand="1"/>
      </w:tblPr>
      <w:tblGrid>
        <w:gridCol w:w="4680"/>
        <w:gridCol w:w="4680"/>
      </w:tblGrid>
      <w:tr w:rsidR="007C6AD8" w14:paraId="1C9FB5C3" w14:textId="77777777">
        <w:tc>
          <w:tcPr>
            <w:tcW w:w="4680" w:type="dxa"/>
            <w:tcBorders>
              <w:bottom w:val="single" w:sz="0" w:space="0" w:color="auto"/>
            </w:tcBorders>
            <w:shd w:val="clear" w:color="auto" w:fill="1F3864"/>
            <w:vAlign w:val="bottom"/>
          </w:tcPr>
          <w:p w14:paraId="7FC84EAB" w14:textId="77777777" w:rsidR="007C6AD8" w:rsidRDefault="00000000">
            <w:pPr>
              <w:pStyle w:val="Compact"/>
            </w:pPr>
            <w:r>
              <w:rPr>
                <w:b/>
                <w:color w:val="FFFFFF"/>
              </w:rPr>
              <w:t>Year</w:t>
            </w:r>
          </w:p>
        </w:tc>
        <w:tc>
          <w:tcPr>
            <w:tcW w:w="4680" w:type="dxa"/>
            <w:tcBorders>
              <w:bottom w:val="single" w:sz="0" w:space="0" w:color="auto"/>
            </w:tcBorders>
            <w:shd w:val="clear" w:color="auto" w:fill="1F3864"/>
            <w:vAlign w:val="bottom"/>
          </w:tcPr>
          <w:p w14:paraId="427EFC3E" w14:textId="77777777" w:rsidR="007C6AD8" w:rsidRDefault="00000000">
            <w:pPr>
              <w:pStyle w:val="Compact"/>
            </w:pPr>
            <w:r>
              <w:rPr>
                <w:b/>
                <w:color w:val="FFFFFF"/>
              </w:rPr>
              <w:t>Milestone</w:t>
            </w:r>
          </w:p>
        </w:tc>
      </w:tr>
      <w:tr w:rsidR="007C6AD8" w14:paraId="4D31E404" w14:textId="77777777">
        <w:tc>
          <w:tcPr>
            <w:tcW w:w="4680" w:type="dxa"/>
          </w:tcPr>
          <w:p w14:paraId="360CA825" w14:textId="77777777" w:rsidR="007C6AD8" w:rsidRDefault="00000000">
            <w:pPr>
              <w:pStyle w:val="Compact"/>
            </w:pPr>
            <w:r>
              <w:t>1970</w:t>
            </w:r>
          </w:p>
        </w:tc>
        <w:tc>
          <w:tcPr>
            <w:tcW w:w="4680" w:type="dxa"/>
          </w:tcPr>
          <w:p w14:paraId="1E9B7706" w14:textId="77777777" w:rsidR="007C6AD8" w:rsidRDefault="00000000">
            <w:pPr>
              <w:pStyle w:val="Compact"/>
            </w:pPr>
            <w:r>
              <w:t>Friedman’s shareholder-primacy essay published</w:t>
            </w:r>
          </w:p>
        </w:tc>
      </w:tr>
      <w:tr w:rsidR="007C6AD8" w14:paraId="10DDDC74" w14:textId="77777777">
        <w:tc>
          <w:tcPr>
            <w:tcW w:w="4680" w:type="dxa"/>
          </w:tcPr>
          <w:p w14:paraId="0E054832" w14:textId="77777777" w:rsidR="007C6AD8" w:rsidRDefault="00000000">
            <w:pPr>
              <w:pStyle w:val="Compact"/>
            </w:pPr>
            <w:r>
              <w:t>1984</w:t>
            </w:r>
          </w:p>
        </w:tc>
        <w:tc>
          <w:tcPr>
            <w:tcW w:w="4680" w:type="dxa"/>
          </w:tcPr>
          <w:p w14:paraId="7BAF585D" w14:textId="77777777" w:rsidR="007C6AD8" w:rsidRDefault="00000000">
            <w:pPr>
              <w:pStyle w:val="Compact"/>
            </w:pPr>
            <w:r>
              <w:t xml:space="preserve">Freeman’s </w:t>
            </w:r>
            <w:r>
              <w:rPr>
                <w:i/>
              </w:rPr>
              <w:t>Strategic Management: A Stakeholder Approach</w:t>
            </w:r>
            <w:r>
              <w:t xml:space="preserve"> published</w:t>
            </w:r>
          </w:p>
        </w:tc>
      </w:tr>
      <w:tr w:rsidR="007C6AD8" w14:paraId="0BA59636" w14:textId="77777777">
        <w:tc>
          <w:tcPr>
            <w:tcW w:w="4680" w:type="dxa"/>
          </w:tcPr>
          <w:p w14:paraId="2A5EFA93" w14:textId="77777777" w:rsidR="007C6AD8" w:rsidRDefault="00000000">
            <w:pPr>
              <w:pStyle w:val="Compact"/>
            </w:pPr>
            <w:r>
              <w:t>2010</w:t>
            </w:r>
          </w:p>
        </w:tc>
        <w:tc>
          <w:tcPr>
            <w:tcW w:w="4680" w:type="dxa"/>
          </w:tcPr>
          <w:p w14:paraId="18BFA83B" w14:textId="77777777" w:rsidR="007C6AD8" w:rsidRDefault="00000000">
            <w:pPr>
              <w:pStyle w:val="Compact"/>
            </w:pPr>
            <w:r>
              <w:t>BP Deepwater Horizon spill</w:t>
            </w:r>
          </w:p>
        </w:tc>
      </w:tr>
      <w:tr w:rsidR="007C6AD8" w14:paraId="7E57EB12" w14:textId="77777777">
        <w:tc>
          <w:tcPr>
            <w:tcW w:w="4680" w:type="dxa"/>
          </w:tcPr>
          <w:p w14:paraId="6A8040A0" w14:textId="77777777" w:rsidR="007C6AD8" w:rsidRDefault="00000000">
            <w:pPr>
              <w:pStyle w:val="Compact"/>
            </w:pPr>
            <w:r>
              <w:t>2015</w:t>
            </w:r>
          </w:p>
        </w:tc>
        <w:tc>
          <w:tcPr>
            <w:tcW w:w="4680" w:type="dxa"/>
          </w:tcPr>
          <w:p w14:paraId="553C1E01" w14:textId="77777777" w:rsidR="007C6AD8" w:rsidRDefault="00000000">
            <w:pPr>
              <w:pStyle w:val="Compact"/>
            </w:pPr>
            <w:r>
              <w:t>Volkswagen “Dieselgate” revealed; Friede, Busch &amp; Bassen meta-analysis published</w:t>
            </w:r>
          </w:p>
        </w:tc>
      </w:tr>
      <w:tr w:rsidR="007C6AD8" w14:paraId="7CFC97AA" w14:textId="77777777">
        <w:tc>
          <w:tcPr>
            <w:tcW w:w="4680" w:type="dxa"/>
          </w:tcPr>
          <w:p w14:paraId="0DE20229" w14:textId="77777777" w:rsidR="007C6AD8" w:rsidRDefault="00000000">
            <w:pPr>
              <w:pStyle w:val="Compact"/>
            </w:pPr>
            <w:r>
              <w:t>2016</w:t>
            </w:r>
          </w:p>
        </w:tc>
        <w:tc>
          <w:tcPr>
            <w:tcW w:w="4680" w:type="dxa"/>
          </w:tcPr>
          <w:p w14:paraId="327992AC" w14:textId="77777777" w:rsidR="007C6AD8" w:rsidRDefault="00000000">
            <w:pPr>
              <w:pStyle w:val="Compact"/>
            </w:pPr>
            <w:r>
              <w:t>Wells Fargo fake-accounts scandal revealed</w:t>
            </w:r>
          </w:p>
        </w:tc>
      </w:tr>
      <w:tr w:rsidR="007C6AD8" w14:paraId="3D5F449B" w14:textId="77777777">
        <w:tc>
          <w:tcPr>
            <w:tcW w:w="4680" w:type="dxa"/>
          </w:tcPr>
          <w:p w14:paraId="01534408" w14:textId="77777777" w:rsidR="007C6AD8" w:rsidRDefault="00000000">
            <w:pPr>
              <w:pStyle w:val="Compact"/>
            </w:pPr>
            <w:r>
              <w:t>2018–19</w:t>
            </w:r>
          </w:p>
        </w:tc>
        <w:tc>
          <w:tcPr>
            <w:tcW w:w="4680" w:type="dxa"/>
          </w:tcPr>
          <w:p w14:paraId="72659057" w14:textId="77777777" w:rsidR="007C6AD8" w:rsidRDefault="00000000">
            <w:pPr>
              <w:pStyle w:val="Compact"/>
            </w:pPr>
            <w:r>
              <w:t>Boeing 737 MAX crashes; Facebook/Cambridge Analytica scandal; Amazon AI recruiting tool scrapped</w:t>
            </w:r>
          </w:p>
        </w:tc>
      </w:tr>
      <w:tr w:rsidR="007C6AD8" w14:paraId="71CFBE6B" w14:textId="77777777">
        <w:tc>
          <w:tcPr>
            <w:tcW w:w="4680" w:type="dxa"/>
          </w:tcPr>
          <w:p w14:paraId="0AD7BC03" w14:textId="77777777" w:rsidR="007C6AD8" w:rsidRDefault="00000000">
            <w:pPr>
              <w:pStyle w:val="Compact"/>
            </w:pPr>
            <w:r>
              <w:t>2019</w:t>
            </w:r>
          </w:p>
        </w:tc>
        <w:tc>
          <w:tcPr>
            <w:tcW w:w="4680" w:type="dxa"/>
          </w:tcPr>
          <w:p w14:paraId="1154806E" w14:textId="77777777" w:rsidR="007C6AD8" w:rsidRDefault="00000000">
            <w:pPr>
              <w:pStyle w:val="Compact"/>
            </w:pPr>
            <w:r>
              <w:t>Google/DeepMind ATEAC dissolved within one week</w:t>
            </w:r>
          </w:p>
        </w:tc>
      </w:tr>
      <w:tr w:rsidR="007C6AD8" w14:paraId="3D3F9115" w14:textId="77777777">
        <w:tc>
          <w:tcPr>
            <w:tcW w:w="4680" w:type="dxa"/>
          </w:tcPr>
          <w:p w14:paraId="49C9137E" w14:textId="77777777" w:rsidR="007C6AD8" w:rsidRDefault="00000000">
            <w:pPr>
              <w:pStyle w:val="Compact"/>
            </w:pPr>
            <w:r>
              <w:t>2021</w:t>
            </w:r>
          </w:p>
        </w:tc>
        <w:tc>
          <w:tcPr>
            <w:tcW w:w="4680" w:type="dxa"/>
          </w:tcPr>
          <w:p w14:paraId="41FDB618" w14:textId="77777777" w:rsidR="007C6AD8" w:rsidRDefault="00000000">
            <w:pPr>
              <w:pStyle w:val="Compact"/>
            </w:pPr>
            <w:r>
              <w:t>Danone ousts Emmanuel Faber; Tesla removed from S&amp;P 500 ESG Index; Shell ordered by Dutch court to cut emissions; Engine No. 1 wins ExxonMobil board seats</w:t>
            </w:r>
          </w:p>
        </w:tc>
      </w:tr>
      <w:tr w:rsidR="007C6AD8" w14:paraId="224DF7D1" w14:textId="77777777">
        <w:tc>
          <w:tcPr>
            <w:tcW w:w="4680" w:type="dxa"/>
          </w:tcPr>
          <w:p w14:paraId="4AADAEB7" w14:textId="77777777" w:rsidR="007C6AD8" w:rsidRDefault="00000000">
            <w:pPr>
              <w:pStyle w:val="Compact"/>
            </w:pPr>
            <w:r>
              <w:t>2022</w:t>
            </w:r>
          </w:p>
        </w:tc>
        <w:tc>
          <w:tcPr>
            <w:tcW w:w="4680" w:type="dxa"/>
          </w:tcPr>
          <w:p w14:paraId="04148564" w14:textId="77777777" w:rsidR="007C6AD8" w:rsidRDefault="00000000">
            <w:pPr>
              <w:pStyle w:val="Compact"/>
            </w:pPr>
            <w:r>
              <w:t>Patagonia ownership transferred to purpose trust; CSRD adopted in the EU; THY’s first SAF flight (February)</w:t>
            </w:r>
          </w:p>
        </w:tc>
      </w:tr>
      <w:tr w:rsidR="007C6AD8" w14:paraId="3858974B" w14:textId="77777777">
        <w:tc>
          <w:tcPr>
            <w:tcW w:w="4680" w:type="dxa"/>
          </w:tcPr>
          <w:p w14:paraId="2428C007" w14:textId="77777777" w:rsidR="007C6AD8" w:rsidRDefault="00000000">
            <w:pPr>
              <w:pStyle w:val="Compact"/>
            </w:pPr>
            <w:r>
              <w:t>2023</w:t>
            </w:r>
          </w:p>
        </w:tc>
        <w:tc>
          <w:tcPr>
            <w:tcW w:w="4680" w:type="dxa"/>
          </w:tcPr>
          <w:p w14:paraId="4A5BA1BC" w14:textId="77777777" w:rsidR="007C6AD8" w:rsidRDefault="00000000">
            <w:pPr>
              <w:pStyle w:val="Compact"/>
            </w:pPr>
            <w:r>
              <w:t>ISO/IEC 42001 published; OpenAI November board crisis; EU AI Act reaches political agreement</w:t>
            </w:r>
          </w:p>
        </w:tc>
      </w:tr>
      <w:tr w:rsidR="007C6AD8" w14:paraId="476469D4" w14:textId="77777777">
        <w:tc>
          <w:tcPr>
            <w:tcW w:w="4680" w:type="dxa"/>
          </w:tcPr>
          <w:p w14:paraId="39B0E499" w14:textId="77777777" w:rsidR="007C6AD8" w:rsidRDefault="00000000">
            <w:pPr>
              <w:pStyle w:val="Compact"/>
            </w:pPr>
            <w:r>
              <w:t>2024</w:t>
            </w:r>
          </w:p>
        </w:tc>
        <w:tc>
          <w:tcPr>
            <w:tcW w:w="4680" w:type="dxa"/>
          </w:tcPr>
          <w:p w14:paraId="523E9EF1" w14:textId="77777777" w:rsidR="007C6AD8" w:rsidRDefault="00000000">
            <w:pPr>
              <w:pStyle w:val="Compact"/>
            </w:pPr>
            <w:r>
              <w:t>EU AI Act enters into force; Shell appellate ruling narrows 2021 mandate</w:t>
            </w:r>
          </w:p>
        </w:tc>
      </w:tr>
      <w:tr w:rsidR="007C6AD8" w14:paraId="71013049" w14:textId="77777777">
        <w:tc>
          <w:tcPr>
            <w:tcW w:w="4680" w:type="dxa"/>
          </w:tcPr>
          <w:p w14:paraId="723CC187" w14:textId="77777777" w:rsidR="007C6AD8" w:rsidRDefault="00000000">
            <w:pPr>
              <w:pStyle w:val="Compact"/>
            </w:pPr>
            <w:r>
              <w:t>2025</w:t>
            </w:r>
          </w:p>
        </w:tc>
        <w:tc>
          <w:tcPr>
            <w:tcW w:w="4680" w:type="dxa"/>
          </w:tcPr>
          <w:p w14:paraId="1FD95E3E" w14:textId="77777777" w:rsidR="007C6AD8" w:rsidRDefault="00000000">
            <w:pPr>
              <w:pStyle w:val="Compact"/>
            </w:pPr>
            <w:r>
              <w:t>EU “Omnibus” CSRD simplification package narrows scope; visible U.S. ESG political backlash</w:t>
            </w:r>
          </w:p>
        </w:tc>
      </w:tr>
      <w:tr w:rsidR="007C6AD8" w14:paraId="383C1099" w14:textId="77777777">
        <w:tc>
          <w:tcPr>
            <w:tcW w:w="4680" w:type="dxa"/>
          </w:tcPr>
          <w:p w14:paraId="55A65076" w14:textId="77777777" w:rsidR="007C6AD8" w:rsidRDefault="00000000">
            <w:pPr>
              <w:pStyle w:val="Compact"/>
            </w:pPr>
            <w:r>
              <w:t>2026–2028</w:t>
            </w:r>
          </w:p>
        </w:tc>
        <w:tc>
          <w:tcPr>
            <w:tcW w:w="4680" w:type="dxa"/>
          </w:tcPr>
          <w:p w14:paraId="6869A717" w14:textId="77777777" w:rsidR="007C6AD8" w:rsidRDefault="00000000">
            <w:pPr>
              <w:pStyle w:val="Compact"/>
            </w:pPr>
            <w:r>
              <w:t>Continued EU AI Act risk-tier phase-in; CSRD/ESRS phased rollout continues; ISSB/TSRS regional adoption continues</w:t>
            </w:r>
          </w:p>
        </w:tc>
      </w:tr>
    </w:tbl>
    <w:p w14:paraId="73557EFE" w14:textId="77777777" w:rsidR="007C6AD8" w:rsidRDefault="00000000">
      <w:pPr>
        <w:pStyle w:val="Heading2"/>
      </w:pPr>
      <w:bookmarkStart w:id="64" w:name="Xfa05f098bc4030e4f06b495e9125edc8423ac5d"/>
      <w:r>
        <w:t>Appendix J — Climate-Risk Quantification: Physical vs. Transition Risk</w:t>
      </w:r>
      <w:bookmarkEnd w:id="64"/>
    </w:p>
    <w:p w14:paraId="31F5C611" w14:textId="77777777" w:rsidR="007C6AD8" w:rsidRDefault="00000000">
      <w:pPr>
        <w:pStyle w:val="FirstParagraph"/>
      </w:pPr>
      <w:r>
        <w:t xml:space="preserve">TCFD’s framework, now folded into ISSB’s IFRS S2, distinguishes two categories of climate risk a board needs to quantify rather than merely acknowledge. </w:t>
      </w:r>
      <w:r>
        <w:rPr>
          <w:b/>
        </w:rPr>
        <w:t>Physical risk</w:t>
      </w:r>
      <w:r>
        <w:t xml:space="preserve"> covers direct damage from climate change itself: acute risk (a specific extreme-weather event damaging a facility or disrupting a supply chain) and chronic risk (gradual shifts — rising average temperatures, changing precipitation patterns, sea-level rise — that steadily change the economics of an asset’s location or operation over years). </w:t>
      </w:r>
      <w:r>
        <w:rPr>
          <w:b/>
        </w:rPr>
        <w:t>Transition risk</w:t>
      </w:r>
      <w:r>
        <w:t xml:space="preserve"> covers the cost of the economy moving away from carbon-intensive activity: policy risk (carbon pricing, emissions regulation), market risk (shifting consumer and investor preference away from carbon-intensive products), and technology risk (existing assets becoming stranded as cheaper low-carbon alternatives mature). For a company like THY, physical risk includes route disruption from </w:t>
      </w:r>
      <w:r>
        <w:lastRenderedPageBreak/>
        <w:t>extreme weather and airport infrastructure vulnerability; transition risk includes SAF cost premiums, CORSIA offset costs, and the risk that slower decarbonization relative to competitors becomes a customer and financing disadvantage. For Sabancı’s Enerjisa, transition risk is the central issue: thermal generation assets face a real prospect of becoming stranded (uneconomic before the end of their physical life) as carbon pricing and renewable costs continue to move in the same direction.</w:t>
      </w:r>
    </w:p>
    <w:p w14:paraId="3CBC5451" w14:textId="77777777" w:rsidR="007C6AD8" w:rsidRDefault="00000000">
      <w:pPr>
        <w:pStyle w:val="BodyText"/>
      </w:pPr>
      <w:r>
        <w:t xml:space="preserve">The </w:t>
      </w:r>
      <w:r>
        <w:rPr>
          <w:b/>
        </w:rPr>
        <w:t>Network for Greening the Financial System (NGFS)</w:t>
      </w:r>
      <w:r>
        <w:t xml:space="preserve"> publishes standardized reference scenarios — including an “orderly transition” (early, gradual policy action), a “disorderly transition” (late, abrupt policy action forcing rapid adjustment), and “hot house world” (limited climate policy action, severe physical risk realized) — that companies and financial institutions increasingly use to stress-test their own asset base and strategy against multiple plausible futures rather than a single forecast. Applying an NGFS-style scenario lens to the Section 3.3 scorecard method adds a forward-looking dimension to what is otherwise a backward-looking, disclosure-based assessment: a company can score well today on financial and impact materiality while carrying a much weaker score under a disorderly-transition scenario, and a sophisticated board should ask for both.</w:t>
      </w:r>
    </w:p>
    <w:p w14:paraId="1FFB6E9C" w14:textId="77777777" w:rsidR="007C6AD8" w:rsidRDefault="00000000">
      <w:pPr>
        <w:pStyle w:val="Heading2"/>
      </w:pPr>
      <w:bookmarkStart w:id="65" w:name="X8b20850322f80f827daabeab1ff055f70baf657"/>
      <w:r>
        <w:t>Appendix K — Board Skills Matrices and AI/ESG Committee Structures in Practice</w:t>
      </w:r>
      <w:bookmarkEnd w:id="65"/>
    </w:p>
    <w:p w14:paraId="0BCF1F95" w14:textId="77777777" w:rsidR="007C6AD8" w:rsidRDefault="00000000">
      <w:pPr>
        <w:pStyle w:val="FirstParagraph"/>
      </w:pPr>
      <w:r>
        <w:t xml:space="preserve">A </w:t>
      </w:r>
      <w:r>
        <w:rPr>
          <w:b/>
        </w:rPr>
        <w:t>board skills matrix</w:t>
      </w:r>
      <w:r>
        <w:t xml:space="preserve"> is a simple table mapping each director against the specific expertise areas a board needs, increasingly including climate/energy-transition expertise and, more recently, AI/technology-risk expertise as distinct rows alongside traditional finance, industry, and legal expertise. Publishing a skills matrix (a practice increasingly expected by proxy advisors and large institutional investors, per Appendix H) is a low-cost, high-signal governance disclosure: it lets any external analyst check directly whether a board that claims to oversee AI risk actually has a director with relevant technical background, rather than inferring it from general reputation.</w:t>
      </w:r>
    </w:p>
    <w:p w14:paraId="23FB407E" w14:textId="77777777" w:rsidR="007C6AD8" w:rsidRDefault="00000000">
      <w:pPr>
        <w:pStyle w:val="BodyText"/>
      </w:pPr>
      <w:r>
        <w:t xml:space="preserve">In practice, companies have converged on roughly three committee-structure models for AI oversight: (1) a </w:t>
      </w:r>
      <w:r>
        <w:rPr>
          <w:b/>
        </w:rPr>
        <w:t>dedicated AI or technology-risk committee</w:t>
      </w:r>
      <w:r>
        <w:t xml:space="preserve">, the most resource-intensive but clearest-authority model, seen mainly at large technology companies (Microsoft’s board-level technology and AI oversight structure is the clearest example among the cases in this reader); (2) </w:t>
      </w:r>
      <w:r>
        <w:rPr>
          <w:b/>
        </w:rPr>
        <w:t>AI oversight folded into an existing audit or risk committee</w:t>
      </w:r>
      <w:r>
        <w:t xml:space="preserve">, a lower-cost model that leverages an existing committee’s authority but risks AI competing for attention against traditional financial and operational risk topics; and (3) </w:t>
      </w:r>
      <w:r>
        <w:rPr>
          <w:b/>
        </w:rPr>
        <w:t>informal executive-level ownership without a named board committee</w:t>
      </w:r>
      <w:r>
        <w:t>, the pattern this reader has identified as the current state for all three running Turkish cases (Koç, Sabancı, THY) — workable in the short term but the weakest model from an external-verifiability standpoint, since there is no committee charter, meeting cadence, or reporting line an outside analyst can point to.</w:t>
      </w:r>
    </w:p>
    <w:p w14:paraId="78E5DF70" w14:textId="77777777" w:rsidR="007C6AD8" w:rsidRDefault="00000000">
      <w:pPr>
        <w:pStyle w:val="Heading2"/>
      </w:pPr>
      <w:bookmarkStart w:id="66" w:name="Xda363aba7c19d0d7d556c0007000b9f2b0688fa"/>
      <w:r>
        <w:t>Appendix L — Extended Essay and Exam Preparation Prompts</w:t>
      </w:r>
      <w:bookmarkEnd w:id="66"/>
    </w:p>
    <w:p w14:paraId="25B9B856" w14:textId="77777777" w:rsidR="007C6AD8" w:rsidRDefault="00000000">
      <w:pPr>
        <w:pStyle w:val="Compact"/>
        <w:numPr>
          <w:ilvl w:val="0"/>
          <w:numId w:val="7"/>
        </w:numPr>
      </w:pPr>
      <w:r>
        <w:t>Using the scorecard method (Section 3.3) and the worked example (Appendix B.2), construct your own five-row materiality table for a company of your choosing (Turkish or international), and defend your financial- and impact-materiality scores for at least two rows.</w:t>
      </w:r>
    </w:p>
    <w:p w14:paraId="60E17D67" w14:textId="77777777" w:rsidR="007C6AD8" w:rsidRDefault="00000000">
      <w:pPr>
        <w:pStyle w:val="Compact"/>
        <w:numPr>
          <w:ilvl w:val="0"/>
          <w:numId w:val="7"/>
        </w:numPr>
      </w:pPr>
      <w:r>
        <w:t>Compare the governance failure mechanisms in BP (Section 2.1), Volkswagen (Section 2.2), and Boeing (Appendix A.2). What single governance intervention, applied consistently across all three, would most plausibly have changed the outcome?</w:t>
      </w:r>
    </w:p>
    <w:p w14:paraId="4594C12B" w14:textId="77777777" w:rsidR="007C6AD8" w:rsidRDefault="00000000">
      <w:pPr>
        <w:pStyle w:val="Compact"/>
        <w:numPr>
          <w:ilvl w:val="0"/>
          <w:numId w:val="7"/>
        </w:numPr>
      </w:pPr>
      <w:r>
        <w:t>Is the EU’s 2025 Omnibus simplification package (Section 6.1) evidence that double materiality was over-engineered from the start, or evidence that good regulation can be recalibrated without abandoning its core principle? Take a position and defend it using the CSRD/ESRS material in Part III.</w:t>
      </w:r>
    </w:p>
    <w:p w14:paraId="76C365E9" w14:textId="77777777" w:rsidR="007C6AD8" w:rsidRDefault="00000000">
      <w:pPr>
        <w:pStyle w:val="Compact"/>
        <w:numPr>
          <w:ilvl w:val="0"/>
          <w:numId w:val="7"/>
        </w:numPr>
      </w:pPr>
      <w:r>
        <w:t>Draft a one-page AI-governance committee charter (using Appendix F’s purpose-clause template as a starting point) for Turkish Airlines, addressing specifically its EU AI Act extraterritorial exposure (Section 5.3).</w:t>
      </w:r>
    </w:p>
    <w:p w14:paraId="41298CF0" w14:textId="77777777" w:rsidR="007C6AD8" w:rsidRDefault="00000000">
      <w:pPr>
        <w:pStyle w:val="Compact"/>
        <w:numPr>
          <w:ilvl w:val="0"/>
          <w:numId w:val="7"/>
        </w:numPr>
      </w:pPr>
      <w:r>
        <w:lastRenderedPageBreak/>
        <w:t>Friede, Busch and Bassen’s meta-analysis is now a decade old. What would you want to know about more recent (2020–2026) studies before updating your confidence in its conclusion, and how does the rater-divergence problem (Section 3.2) complicate any such update?</w:t>
      </w:r>
    </w:p>
    <w:p w14:paraId="72109F3D" w14:textId="77777777" w:rsidR="007C6AD8" w:rsidRDefault="00000000">
      <w:pPr>
        <w:pStyle w:val="Compact"/>
        <w:numPr>
          <w:ilvl w:val="0"/>
          <w:numId w:val="7"/>
        </w:numPr>
      </w:pPr>
      <w:r>
        <w:t>Using Appendix H’s stewardship material, draft the specific engagement request an institutional investor holding shares in all three of Koç, Sabancı, and THY might send to each company’s board regarding AI governance.</w:t>
      </w:r>
    </w:p>
    <w:p w14:paraId="02B9CF04" w14:textId="77777777" w:rsidR="007C6AD8" w:rsidRDefault="00000000">
      <w:pPr>
        <w:pStyle w:val="Heading2"/>
      </w:pPr>
      <w:bookmarkStart w:id="67" w:name="appendix-m-glossary-of-key-terms"/>
      <w:r>
        <w:t>Appendix M — Glossary of Key Terms</w:t>
      </w:r>
      <w:bookmarkEnd w:id="67"/>
    </w:p>
    <w:p w14:paraId="2D4776A4" w14:textId="77777777" w:rsidR="007C6AD8" w:rsidRDefault="00000000">
      <w:pPr>
        <w:pStyle w:val="FirstParagraph"/>
      </w:pPr>
      <w:r>
        <w:rPr>
          <w:b/>
        </w:rPr>
        <w:t>Agentic AI</w:t>
      </w:r>
      <w:r>
        <w:t xml:space="preserve"> — AI systems capable of autonomously pursuing multi-step goals with limited human intervention at each step, raising oversight questions distinct from single-decision AI tools.</w:t>
      </w:r>
    </w:p>
    <w:p w14:paraId="299F2F2C" w14:textId="77777777" w:rsidR="007C6AD8" w:rsidRDefault="00000000">
      <w:pPr>
        <w:pStyle w:val="BodyText"/>
      </w:pPr>
      <w:r>
        <w:rPr>
          <w:b/>
        </w:rPr>
        <w:t>BIST Sustainability Index</w:t>
      </w:r>
      <w:r>
        <w:t xml:space="preserve"> — Borsa Istanbul’s index of listed companies meeting defined ESG performance and disclosure criteria.</w:t>
      </w:r>
    </w:p>
    <w:p w14:paraId="5AE1814D" w14:textId="77777777" w:rsidR="007C6AD8" w:rsidRDefault="00000000">
      <w:pPr>
        <w:pStyle w:val="BodyText"/>
      </w:pPr>
      <w:r>
        <w:rPr>
          <w:b/>
        </w:rPr>
        <w:t>CORSIA</w:t>
      </w:r>
      <w:r>
        <w:t xml:space="preserve"> — The Carbon Offsetting and Reduction Scheme for International Aviation, the ICAO-administered global emissions-offset framework binding on international carriers including THY.</w:t>
      </w:r>
    </w:p>
    <w:p w14:paraId="182A4A68" w14:textId="77777777" w:rsidR="007C6AD8" w:rsidRDefault="00000000">
      <w:pPr>
        <w:pStyle w:val="BodyText"/>
      </w:pPr>
      <w:r>
        <w:rPr>
          <w:b/>
        </w:rPr>
        <w:t>CSRD / ESRS</w:t>
      </w:r>
      <w:r>
        <w:t xml:space="preserve"> — The EU’s Corporate Sustainability Reporting Directive and its underlying European Sustainability Reporting Standards, mandating double-materiality disclosure.</w:t>
      </w:r>
    </w:p>
    <w:p w14:paraId="29752CAF" w14:textId="77777777" w:rsidR="007C6AD8" w:rsidRDefault="00000000">
      <w:pPr>
        <w:pStyle w:val="BodyText"/>
      </w:pPr>
      <w:r>
        <w:rPr>
          <w:b/>
        </w:rPr>
        <w:t>Double materiality</w:t>
      </w:r>
      <w:r>
        <w:t xml:space="preserve"> — A reporting logic requiring disclosure of both financial materiality (issues that affect the company) and impact materiality (issues the company affects).</w:t>
      </w:r>
    </w:p>
    <w:p w14:paraId="0F3FF232" w14:textId="77777777" w:rsidR="007C6AD8" w:rsidRDefault="00000000">
      <w:pPr>
        <w:pStyle w:val="BodyText"/>
      </w:pPr>
      <w:r>
        <w:rPr>
          <w:b/>
        </w:rPr>
        <w:t>Entreprise à mission</w:t>
      </w:r>
      <w:r>
        <w:t xml:space="preserve"> — French legal status allowing a company to formally embed social/environmental purpose into its governance charter (see Danone, Section 2.3).</w:t>
      </w:r>
    </w:p>
    <w:p w14:paraId="233B199E" w14:textId="77777777" w:rsidR="007C6AD8" w:rsidRDefault="00000000">
      <w:pPr>
        <w:pStyle w:val="BodyText"/>
      </w:pPr>
      <w:r>
        <w:rPr>
          <w:b/>
        </w:rPr>
        <w:t>Financial materiality</w:t>
      </w:r>
      <w:r>
        <w:t xml:space="preserve"> — The narrower materiality logic (SASB, U.S. approach) limited to issues that could plausibly affect company financial performance.</w:t>
      </w:r>
    </w:p>
    <w:p w14:paraId="2D5297BE" w14:textId="77777777" w:rsidR="007C6AD8" w:rsidRDefault="00000000">
      <w:pPr>
        <w:pStyle w:val="BodyText"/>
      </w:pPr>
      <w:r>
        <w:rPr>
          <w:b/>
        </w:rPr>
        <w:t>Greenium</w:t>
      </w:r>
      <w:r>
        <w:t xml:space="preserve"> — A modest yield discount sometimes observed on green or sustainability-linked bonds relative to conventional equivalents (Appendix C.1).</w:t>
      </w:r>
    </w:p>
    <w:p w14:paraId="54942997" w14:textId="77777777" w:rsidR="007C6AD8" w:rsidRDefault="00000000">
      <w:pPr>
        <w:pStyle w:val="BodyText"/>
      </w:pPr>
      <w:r>
        <w:rPr>
          <w:b/>
        </w:rPr>
        <w:t>Greenwashing</w:t>
      </w:r>
      <w:r>
        <w:t xml:space="preserve"> — Making ESG or sustainability claims that are misleading, unsubstantiated, or inconsistent with actual practice; increasingly a distinct enforcement category (Section 4.4).</w:t>
      </w:r>
    </w:p>
    <w:p w14:paraId="530C7054" w14:textId="77777777" w:rsidR="007C6AD8" w:rsidRDefault="00000000">
      <w:pPr>
        <w:pStyle w:val="BodyText"/>
      </w:pPr>
      <w:r>
        <w:rPr>
          <w:b/>
        </w:rPr>
        <w:t>ISSB</w:t>
      </w:r>
      <w:r>
        <w:t xml:space="preserve"> — The International Sustainability Standards Board, the IFRS Foundation body issuing the global investor-focused sustainability disclosure baseline (IFRS S1/S2).</w:t>
      </w:r>
    </w:p>
    <w:p w14:paraId="1F3E24A1" w14:textId="77777777" w:rsidR="007C6AD8" w:rsidRDefault="00000000">
      <w:pPr>
        <w:pStyle w:val="BodyText"/>
      </w:pPr>
      <w:r>
        <w:rPr>
          <w:b/>
        </w:rPr>
        <w:t>Just transition</w:t>
      </w:r>
      <w:r>
        <w:t xml:space="preserve"> — The principle that a shift away from carbon-intensive economic activity should be managed to protect affected workers and communities, not only measured in aggregate emissions terms (see Sabancı/Enerjisa, Section 5.2).</w:t>
      </w:r>
    </w:p>
    <w:p w14:paraId="2E0FED5C" w14:textId="77777777" w:rsidR="007C6AD8" w:rsidRDefault="00000000">
      <w:pPr>
        <w:pStyle w:val="BodyText"/>
      </w:pPr>
      <w:r>
        <w:rPr>
          <w:b/>
        </w:rPr>
        <w:t>NGFS scenarios</w:t>
      </w:r>
      <w:r>
        <w:t xml:space="preserve"> — Standardized climate stress-test scenarios published by the Network for Greening the Financial System (Appendix J).</w:t>
      </w:r>
    </w:p>
    <w:p w14:paraId="3411B718" w14:textId="77777777" w:rsidR="007C6AD8" w:rsidRDefault="00000000">
      <w:pPr>
        <w:pStyle w:val="BodyText"/>
      </w:pPr>
      <w:r>
        <w:rPr>
          <w:b/>
        </w:rPr>
        <w:t>Physical risk / Transition risk</w:t>
      </w:r>
      <w:r>
        <w:t xml:space="preserve"> — The two TCFD/ISSB climate-risk categories: direct climate damage versus the cost of economic transition away from carbon-intensive activity.</w:t>
      </w:r>
    </w:p>
    <w:p w14:paraId="26A9D0F0" w14:textId="77777777" w:rsidR="007C6AD8" w:rsidRDefault="00000000">
      <w:pPr>
        <w:pStyle w:val="BodyText"/>
      </w:pPr>
      <w:r>
        <w:rPr>
          <w:b/>
        </w:rPr>
        <w:t>SASB</w:t>
      </w:r>
      <w:r>
        <w:t xml:space="preserve"> — The Sustainability Accounting Standards Board, now part of ISSB, issuing industry-specific, financial-materiality-based disclosure standards.</w:t>
      </w:r>
    </w:p>
    <w:p w14:paraId="5BC14A06" w14:textId="77777777" w:rsidR="007C6AD8" w:rsidRDefault="00000000">
      <w:pPr>
        <w:pStyle w:val="BodyText"/>
      </w:pPr>
      <w:r>
        <w:rPr>
          <w:b/>
        </w:rPr>
        <w:t>Stranded asset</w:t>
      </w:r>
      <w:r>
        <w:t xml:space="preserve"> — An asset that becomes uneconomic before the end of its physical life due to regulatory, market, or technological change (relevant to Enerjisa’s thermal generation assets).</w:t>
      </w:r>
    </w:p>
    <w:p w14:paraId="2141A2EC" w14:textId="77777777" w:rsidR="007C6AD8" w:rsidRDefault="00000000">
      <w:pPr>
        <w:pStyle w:val="BodyText"/>
      </w:pPr>
      <w:r>
        <w:rPr>
          <w:b/>
        </w:rPr>
        <w:lastRenderedPageBreak/>
        <w:t>TSRS</w:t>
      </w:r>
      <w:r>
        <w:t xml:space="preserve"> — Türkiye Sustainability Reporting Standards, Türkiye’s ISSB-aligned national sustainability disclosure framework.</w:t>
      </w:r>
    </w:p>
    <w:p w14:paraId="6E13E9EF" w14:textId="77777777" w:rsidR="007C6AD8" w:rsidRDefault="00000000">
      <w:pPr>
        <w:pStyle w:val="Heading2"/>
      </w:pPr>
      <w:bookmarkStart w:id="68" w:name="X2de20a3cf4ce080c1d47da6e08672682966507b"/>
      <w:r>
        <w:t>Appendix N — A Workshop Simulation Brief for Applying This Reader</w:t>
      </w:r>
      <w:bookmarkEnd w:id="68"/>
    </w:p>
    <w:p w14:paraId="0D026A7E" w14:textId="77777777" w:rsidR="007C6AD8" w:rsidRDefault="00000000">
      <w:pPr>
        <w:pStyle w:val="FirstParagraph"/>
      </w:pPr>
      <w:r>
        <w:rPr>
          <w:b/>
        </w:rPr>
        <w:t>Scenario.</w:t>
      </w:r>
      <w:r>
        <w:t xml:space="preserve"> You are advising the board of one of the three running case companies (Koç, Sabancı, or THY) six months after an external analyst report has publicly flagged its AI-governance gap alongside its established ESG track record.</w:t>
      </w:r>
    </w:p>
    <w:p w14:paraId="30BC1035" w14:textId="77777777" w:rsidR="007C6AD8" w:rsidRDefault="00000000">
      <w:pPr>
        <w:pStyle w:val="BodyText"/>
      </w:pPr>
      <w:r>
        <w:rPr>
          <w:b/>
        </w:rPr>
        <w:t>Roles.</w:t>
      </w:r>
      <w:r>
        <w:t xml:space="preserve"> Assign a lead independent director, a chief sustainability officer, a chief technology/AI officer (a role most of these companies do not yet have — consider whether creating it is your first recommendation), and an external institutional-investor representative.</w:t>
      </w:r>
    </w:p>
    <w:p w14:paraId="39C69014" w14:textId="77777777" w:rsidR="007C6AD8" w:rsidRDefault="00000000">
      <w:pPr>
        <w:pStyle w:val="BodyText"/>
      </w:pPr>
      <w:r>
        <w:rPr>
          <w:b/>
        </w:rPr>
        <w:t>Required analytical steps.</w:t>
      </w:r>
      <w:r>
        <w:t xml:space="preserve"> (1) Apply the Section 3.3 scorecard method to identify the company’s 3–5 material AI use cases. (2) Apply the Appendix F checklist to assess current AI-governance maturity against each. (3) Draft a 12-month remediation plan with at least one externally verifiable milestone (a published committee charter, a named AI-risk owner, an ISO/IEC 42001 certification timeline). (4) Anticipate the institutional-investor engagement request from Appendix H and draft the board’s response.</w:t>
      </w:r>
    </w:p>
    <w:p w14:paraId="11922C68" w14:textId="77777777" w:rsidR="007C6AD8" w:rsidRDefault="00000000">
      <w:pPr>
        <w:pStyle w:val="BodyText"/>
      </w:pPr>
      <w:r>
        <w:rPr>
          <w:b/>
        </w:rPr>
        <w:t>Evaluation rubric.</w:t>
      </w:r>
      <w:r>
        <w:t xml:space="preserve"> Strong submissions specifically name the material AI use cases (not a generic “the company uses AI” statement), propose remediation that is externally verifiable within the stated timeline, and correctly distinguish which gaps are governance-structure gaps versus disclosure gaps versus genuine unresolved risk. Weak submissions treat “AI governance” as a single yes/no attribute rather than a multi-dimensional maturity question.</w:t>
      </w:r>
    </w:p>
    <w:p w14:paraId="2FBE3CCB" w14:textId="77777777" w:rsidR="007C6AD8" w:rsidRDefault="00000000">
      <w:pPr>
        <w:pStyle w:val="Heading2"/>
      </w:pPr>
      <w:bookmarkStart w:id="69" w:name="X2abceb904f35d274c17c35c58daa7852c80074f"/>
      <w:r>
        <w:t>Appendix O — Cross-Border and Group-Structure ESG/AI Governance</w:t>
      </w:r>
      <w:bookmarkEnd w:id="69"/>
    </w:p>
    <w:p w14:paraId="302EF543" w14:textId="77777777" w:rsidR="007C6AD8" w:rsidRDefault="00000000">
      <w:pPr>
        <w:pStyle w:val="FirstParagraph"/>
      </w:pPr>
      <w:r>
        <w:t xml:space="preserve">Diversified holding structures like Koç Holding and Sabancı Holding raise a specific measurement question this reader has treated implicitly throughout: </w:t>
      </w:r>
      <w:r>
        <w:rPr>
          <w:b/>
        </w:rPr>
        <w:t>is the group-level ESG or AI-governance disclosure a genuine aggregation of subsidiary-level practice, or a group-level statement that outpaces what any individual subsidiary can substantiate?</w:t>
      </w:r>
      <w:r>
        <w:t xml:space="preserve"> A rating agency or analyst evaluating a diversified group should ask whether group-level sustainability commitments are backed by subsidiary-level governance structures (does Ford Otosan, Tüpraş, and Arçelik each have their own materiality assessment feeding into Koç’s group report, or is the group report written from the top down with limited subsidiary input) — the same distinction applies directly to AI governance, where a group-level AI policy statement is a much weaker signal than confirmed subsidiary-level AI-risk inventories feeding a genuine group-level oversight function.</w:t>
      </w:r>
    </w:p>
    <w:p w14:paraId="1483EA0D" w14:textId="77777777" w:rsidR="007C6AD8" w:rsidRDefault="00000000">
      <w:pPr>
        <w:pStyle w:val="Heading2"/>
      </w:pPr>
      <w:bookmarkStart w:id="70" w:name="Xf0d395f02c52b67b2722f6c50b15cb5885aa80f"/>
      <w:r>
        <w:t>Appendix P — Greenwashing Enforcement: A Comparative Note</w:t>
      </w:r>
      <w:bookmarkEnd w:id="70"/>
    </w:p>
    <w:p w14:paraId="23B6BEFB" w14:textId="77777777" w:rsidR="007C6AD8" w:rsidRDefault="00000000">
      <w:pPr>
        <w:pStyle w:val="FirstParagraph"/>
      </w:pPr>
      <w:r>
        <w:t xml:space="preserve">U.S. enforcement of ESG-related claims has moved primarily through the SEC’s disclosure and anti-fraud authority — targeting cases where a company’s or fund’s actual practice diverged from its public ESG claims (Section 4.4) — while the EU has moved toward a more explicit, dedicated instrument: the </w:t>
      </w:r>
      <w:r>
        <w:rPr>
          <w:b/>
        </w:rPr>
        <w:t>Green Claims Directive</w:t>
      </w:r>
      <w:r>
        <w:t>, requiring environmental claims used in marketing to be substantiated with verifiable evidence before publication, shifting the burden toward proving a claim rather than only punishing a false one after the fact. For a board, the practical implication is that “greenwashing risk” is no longer only a reputational category — in the EU specifically, it is becoming a pre-publication compliance obligation, and marketing claims about SAF use, circularity commitments (IKEA, Section 2.9), or AI-fairness assurances should be reviewed with the same substantiation discipline a legal or regulatory-affairs function would apply to a financial disclosure, not treated as a communications-team judgment call.</w:t>
      </w:r>
    </w:p>
    <w:p w14:paraId="34C956E3" w14:textId="77777777" w:rsidR="007C6AD8" w:rsidRDefault="00000000">
      <w:pPr>
        <w:pStyle w:val="Heading2"/>
      </w:pPr>
      <w:bookmarkStart w:id="71" w:name="Xb239b76aefdae35060d5d2a635498e8e14fd047"/>
      <w:r>
        <w:lastRenderedPageBreak/>
        <w:t>Appendix Q — A Comparative Board Playbook: Five Governance Archetypes</w:t>
      </w:r>
      <w:bookmarkEnd w:id="71"/>
    </w:p>
    <w:p w14:paraId="2B1702AE" w14:textId="77777777" w:rsidR="007C6AD8" w:rsidRDefault="00000000">
      <w:pPr>
        <w:pStyle w:val="FirstParagraph"/>
      </w:pPr>
      <w:r>
        <w:t>Read together, the fourteen-plus cases in this reader sort into five recurring governance-failure (and success) archetypes, useful as a diagnostic tool when a new case or a real company doesn’t fit neatly into any single category.</w:t>
      </w:r>
    </w:p>
    <w:p w14:paraId="2CCE9A3D" w14:textId="77777777" w:rsidR="007C6AD8" w:rsidRDefault="00000000">
      <w:pPr>
        <w:pStyle w:val="BodyText"/>
      </w:pPr>
      <w:r>
        <w:rPr>
          <w:b/>
        </w:rPr>
        <w:t>Archetype One: The Branding-Substance Gap.</w:t>
      </w:r>
      <w:r>
        <w:t xml:space="preserve"> A company’s public sustainability or ethics brand runs ahead of its actual operational risk management. BP’s “Beyond Petroleum” positioning ahead of Deepwater Horizon is the clearest example; Tesla’s climate-leadership brand colliding with its governance-score removal from the S&amp;P 500 ESG Index is a milder variant of the same pattern.</w:t>
      </w:r>
    </w:p>
    <w:p w14:paraId="0CFFE583" w14:textId="77777777" w:rsidR="007C6AD8" w:rsidRDefault="00000000">
      <w:pPr>
        <w:pStyle w:val="BodyText"/>
      </w:pPr>
      <w:r>
        <w:rPr>
          <w:b/>
        </w:rPr>
        <w:t>Archetype Two: Activist-Investor Contestation of Purpose.</w:t>
      </w:r>
      <w:r>
        <w:t xml:space="preserve"> A genuine, board-endorsed purpose commitment is challenged and overridden once financial performance disappoints. Danone’s ouster of Emmanuel Faber is the clearest case; Unilever’s post-Polman activist pressure over “sustainability distraction” is a related, less extreme variant.</w:t>
      </w:r>
    </w:p>
    <w:p w14:paraId="501493C7" w14:textId="77777777" w:rsidR="007C6AD8" w:rsidRDefault="00000000">
      <w:pPr>
        <w:pStyle w:val="BodyText"/>
      </w:pPr>
      <w:r>
        <w:rPr>
          <w:b/>
        </w:rPr>
        <w:t>Archetype Three: Index and Ratings-Methodology Risk.</w:t>
      </w:r>
      <w:r>
        <w:t xml:space="preserve"> A company’s ESG standing shifts not because its underlying practice changed, but because a rating or index methodology weighted a factor differently than the company (or public) expected. Tesla’s ESG-index removal is the defining case; the general rater-divergence problem in Section 3.2 makes this archetype structurally likely to recur for any company evaluated by multiple raters.</w:t>
      </w:r>
    </w:p>
    <w:p w14:paraId="4076142E" w14:textId="77777777" w:rsidR="007C6AD8" w:rsidRDefault="00000000">
      <w:pPr>
        <w:pStyle w:val="BodyText"/>
      </w:pPr>
      <w:r>
        <w:rPr>
          <w:b/>
        </w:rPr>
        <w:t>Archetype Four: Governance Structure Outrunning (or Lagging) Novel-Technology Risk.</w:t>
      </w:r>
      <w:r>
        <w:t xml:space="preserve"> A company deploys a new technology faster than its governance structure matures to oversee it. Amazon’s scrapped recruiting tool (caught internally, a near-miss success) and Google/DeepMind’s ATEAC collapse (a governance structure announced without adequate groundwork, a failure) are opposite outcomes of the same underlying archetype; OpenAI’s November 2023 crisis is a case where the governance structure existed on paper but had not been tested against real commercial pressure.</w:t>
      </w:r>
    </w:p>
    <w:p w14:paraId="0CF10F37" w14:textId="77777777" w:rsidR="007C6AD8" w:rsidRDefault="00000000">
      <w:pPr>
        <w:pStyle w:val="BodyText"/>
      </w:pPr>
      <w:r>
        <w:rPr>
          <w:b/>
        </w:rPr>
        <w:t>Archetype Five: Regulatory-Regime Change Outpacing Firm Readiness.</w:t>
      </w:r>
      <w:r>
        <w:t xml:space="preserve"> A company’s compliance posture, adequate under yesterday’s rules, becomes inadequate as regulation tightens or extends extraterritorially. THY’s EU AI Act extraterritorial exposure against an unconfirmed AI-oversight committee is this reader’s central live example; VW’s Dieselgate, in hindsight, is a case where the firm actively worked around tightening emissions regulation rather than merely being caught unprepared by it — a harder, fraud-adjacent variant of the same underlying regulatory-gap archetype.</w:t>
      </w:r>
    </w:p>
    <w:p w14:paraId="16E1770B" w14:textId="77777777" w:rsidR="007C6AD8" w:rsidRDefault="00000000">
      <w:pPr>
        <w:pStyle w:val="BodyText"/>
      </w:pPr>
      <w:r>
        <w:rPr>
          <w:b/>
        </w:rPr>
        <w:t>Using the playbook.</w:t>
      </w:r>
      <w:r>
        <w:t xml:space="preserve"> When evaluating a new company or case, ask which archetype (or combination) best fits before reaching for a generic “good governance/bad governance” judgment — the remediation implied by each archetype is different: Archetype One calls for aligning brand claims with operational risk oversight; Archetype Two calls for testing whether a purpose commitment can survive a bad quarter before claiming it as durable; Archetype Three calls for the multi-rater discipline in Section 3.2; Archetype Four calls for the AI-governance checklist in Appendix F; and Archetype Five calls for the regulatory-mapping-currency practice also in Appendix F.</w:t>
      </w:r>
    </w:p>
    <w:p w14:paraId="62A08E1A" w14:textId="77777777" w:rsidR="007C6AD8" w:rsidRDefault="00000000">
      <w:pPr>
        <w:pStyle w:val="Heading2"/>
      </w:pPr>
      <w:bookmarkStart w:id="72" w:name="Xc13b154472f1e251184898bb36bf36147071ea6"/>
      <w:r>
        <w:t>Appendix R — Frequently Raised Student Questions</w:t>
      </w:r>
      <w:bookmarkEnd w:id="72"/>
    </w:p>
    <w:p w14:paraId="4478629F" w14:textId="77777777" w:rsidR="007C6AD8" w:rsidRDefault="00000000">
      <w:pPr>
        <w:pStyle w:val="FirstParagraph"/>
      </w:pPr>
      <w:r>
        <w:rPr>
          <w:b/>
        </w:rPr>
        <w:t>Is Friedman’s position really compatible with any ESG spending at all?</w:t>
      </w:r>
      <w:r>
        <w:t xml:space="preserve"> Yes — Friedman’s own essay explicitly allows spending that serves long-run shareholder interest (safety investments that avoid larger future liability, community relationships that protect a firm’s license to operate). What Friedman rejects is spending justified purely as social benefit disconnected from shareholder return. Most 2026 corporate ESG spending is defended in Friedman-compatible terms (risk mitigation, cost of capital, talent retention) rather than pure altruism, which is part of why this reader treats the two frameworks as more reconcilable in practice than they appear in the original texts.</w:t>
      </w:r>
    </w:p>
    <w:p w14:paraId="596C4C2C" w14:textId="77777777" w:rsidR="007C6AD8" w:rsidRDefault="00000000">
      <w:pPr>
        <w:pStyle w:val="BodyText"/>
      </w:pPr>
      <w:r>
        <w:rPr>
          <w:b/>
        </w:rPr>
        <w:lastRenderedPageBreak/>
        <w:t>Does this reader take a position on whether Freeman or Friedman is correct?</w:t>
      </w:r>
      <w:r>
        <w:t xml:space="preserve"> No, deliberately. The reader’s position is narrower and more practical: whichever framework a board says it is using, its decisions should be evaluated against the evidence (Part II cases, Part III measurement, Part IV value data) rather than against the stated framework alone, since stated framework and actual practice diverge often enough (see Archetype One and Two above) that the framework label alone tells you very little.</w:t>
      </w:r>
    </w:p>
    <w:p w14:paraId="2AB308BB" w14:textId="77777777" w:rsidR="007C6AD8" w:rsidRDefault="00000000">
      <w:pPr>
        <w:pStyle w:val="BodyText"/>
      </w:pPr>
      <w:r>
        <w:rPr>
          <w:b/>
        </w:rPr>
        <w:t>Why treat the Koç/Sabancı/THY AI-governance gap as provisional rather than definitive?</w:t>
      </w:r>
      <w:r>
        <w:t xml:space="preserve"> Because it is based on the absence of public disclosure of a named committee, not confirmed internal fact — a company may have more mature internal AI governance than it has chosen to disclose. The absence of a public disclosure is itself the governance-relevant fact (Section 3.3’s method treats disclosure completeness as part of the score), but a student or analyst should be careful to say “not publicly confirmed” rather than “does not exist.”</w:t>
      </w:r>
    </w:p>
    <w:p w14:paraId="3162B21F" w14:textId="77777777" w:rsidR="007C6AD8" w:rsidRDefault="00000000">
      <w:pPr>
        <w:pStyle w:val="BodyText"/>
      </w:pPr>
      <w:r>
        <w:rPr>
          <w:b/>
        </w:rPr>
        <w:t>How should I handle 2026 regulatory dates that may change before I submit written work?</w:t>
      </w:r>
      <w:r>
        <w:t xml:space="preserve"> State the date and your source’s vintage explicitly (“as of mid-2026 reporting”) rather than presenting a specific compliance deadline as permanent fact — regulatory timelines, especially the EU AI Act’s phased provisions and the CSRD Omnibus process, have already shifted once and are reasonably likely to shift again.</w:t>
      </w:r>
    </w:p>
    <w:p w14:paraId="32580DFA" w14:textId="77777777" w:rsidR="007C6AD8" w:rsidRDefault="00000000">
      <w:pPr>
        <w:pStyle w:val="BodyText"/>
      </w:pPr>
      <w:r>
        <w:rPr>
          <w:b/>
        </w:rPr>
        <w:t>Do I need to memorize every case in Part II?</w:t>
      </w:r>
      <w:r>
        <w:t xml:space="preserve"> No — you need to be able to apply the Section 3.3 scorecard method and the Appendix Q archetype framework to a case you have not seen before, using the cases in this reader as worked examples of how the method is applied, not as a list to reproduce from memory.</w:t>
      </w:r>
    </w:p>
    <w:p w14:paraId="771D0AEE" w14:textId="77777777" w:rsidR="007C6AD8" w:rsidRDefault="00000000">
      <w:pPr>
        <w:pStyle w:val="Heading2"/>
      </w:pPr>
      <w:bookmarkStart w:id="73" w:name="X61c37614470b69341ce52000b3df652baabef97"/>
      <w:r>
        <w:t>Appendix S — Exam and Assessment Preparation Guide</w:t>
      </w:r>
      <w:bookmarkEnd w:id="73"/>
    </w:p>
    <w:p w14:paraId="303947DE" w14:textId="77777777" w:rsidR="007C6AD8" w:rsidRDefault="00000000">
      <w:pPr>
        <w:pStyle w:val="FirstParagraph"/>
      </w:pPr>
      <w:r>
        <w:rPr>
          <w:b/>
        </w:rPr>
        <w:t>Core concepts checklist.</w:t>
      </w:r>
      <w:r>
        <w:t xml:space="preserve"> Stakeholder theory vs. shareholder primacy (Section 1.1); financial vs. double materiality (Section 1.2); the five governance archetypes (Appendix Q); the Section 3.3 scorecard method; the distinction between disclosure standards (GRI/SASB/TCFD/CSRD) and rating agencies (MSCI/Sustainalytics/LSEG/S&amp;P CSA); the NIST AI RMF and ISO/IEC 42001.</w:t>
      </w:r>
    </w:p>
    <w:p w14:paraId="2086EFC9" w14:textId="77777777" w:rsidR="007C6AD8" w:rsidRDefault="00000000">
      <w:pPr>
        <w:pStyle w:val="BodyText"/>
      </w:pPr>
      <w:r>
        <w:rPr>
          <w:b/>
        </w:rPr>
        <w:t>Regulatory facts checklist.</w:t>
      </w:r>
      <w:r>
        <w:t xml:space="preserve"> CSRD/ESRS double-materiality requirement and the 2025 Omnibus narrowing; the EU AI Act’s risk tiers and its extraterritorial reach; ISSB’s IFRS S1/S2 as the investor-focused global baseline; the US’s fragmented state-and-litigation model; the UK’s principles-based, regulator-led model; China’s sector-specific, rapid-iteration model.</w:t>
      </w:r>
    </w:p>
    <w:p w14:paraId="73A9A737" w14:textId="77777777" w:rsidR="007C6AD8" w:rsidRDefault="00000000">
      <w:pPr>
        <w:pStyle w:val="BodyText"/>
      </w:pPr>
      <w:r>
        <w:rPr>
          <w:b/>
        </w:rPr>
        <w:t>Case facts checklist.</w:t>
      </w:r>
      <w:r>
        <w:t xml:space="preserve"> For each of the fourteen-plus cases in Part II and the appendices, be able to state: what happened, what governance mechanism failed or held, and which archetype (Appendix Q) it best fits.</w:t>
      </w:r>
    </w:p>
    <w:p w14:paraId="4E80E7D5" w14:textId="77777777" w:rsidR="007C6AD8" w:rsidRDefault="00000000">
      <w:pPr>
        <w:pStyle w:val="BodyText"/>
      </w:pPr>
      <w:r>
        <w:rPr>
          <w:b/>
        </w:rPr>
        <w:t>Turkish market facts checklist.</w:t>
      </w:r>
      <w:r>
        <w:t xml:space="preserve"> Koç Holding’s DJSI/S&amp;P Sustainability Yearbook legacy; Sabancı/Enerjisa’s just-transition question; THY’s SAF/CORSIA compliance and EU AI Act extraterritorial exposure; the common pattern of mature ESG disclosure alongside less-mature, unconfirmed AI governance across all three.</w:t>
      </w:r>
    </w:p>
    <w:p w14:paraId="424AC426" w14:textId="77777777" w:rsidR="007C6AD8" w:rsidRDefault="00000000">
      <w:pPr>
        <w:pStyle w:val="BodyText"/>
      </w:pPr>
      <w:r>
        <w:rPr>
          <w:b/>
        </w:rPr>
        <w:t>A final self-assessment exercise.</w:t>
      </w:r>
      <w:r>
        <w:t xml:space="preserve"> Without referring back to the text, write a 150-word materiality assessment for one of the three running Turkish cases using the Section 3.3 method, then check it against Part V. If your unprompted assessment substantially matches the reader’s, you have internalized the method rather than memorized the conclusion — the goal of this reader.</w:t>
      </w:r>
    </w:p>
    <w:p w14:paraId="4953C39D" w14:textId="77777777" w:rsidR="007C6AD8" w:rsidRDefault="00000000">
      <w:pPr>
        <w:pStyle w:val="Heading2"/>
      </w:pPr>
      <w:bookmarkStart w:id="74" w:name="Xeb127ae0428834f61272c752427df4d2504616c"/>
      <w:r>
        <w:t>Appendix T — On the Provisional Status of Evidence in This Reader</w:t>
      </w:r>
      <w:bookmarkEnd w:id="74"/>
    </w:p>
    <w:p w14:paraId="2D8447C3" w14:textId="77777777" w:rsidR="007C6AD8" w:rsidRDefault="00000000">
      <w:pPr>
        <w:pStyle w:val="FirstParagraph"/>
      </w:pPr>
      <w:r>
        <w:t xml:space="preserve">Two categories of claim in this reader deserve a specific evidentiary caveat, consistent with the standard of intellectual honesty the course expects in written work. First, </w:t>
      </w:r>
      <w:r>
        <w:rPr>
          <w:b/>
        </w:rPr>
        <w:t>any 2026-dated regulatory status claim</w:t>
      </w:r>
      <w:r>
        <w:t xml:space="preserve"> (Section 6.1, 6.2, and the chronology in Appendix I) reflects the best publicly available information at the time of writing and should be treated as provisional; regulatory timelines in this space have moved before and are likely to move again, </w:t>
      </w:r>
      <w:r>
        <w:lastRenderedPageBreak/>
        <w:t xml:space="preserve">and written work citing a specific date should note its source’s vintage. Second, </w:t>
      </w:r>
      <w:r>
        <w:rPr>
          <w:b/>
        </w:rPr>
        <w:t>any specific claim about Koç, Sabancı, or THY’s internal governance structure</w:t>
      </w:r>
      <w:r>
        <w:t xml:space="preserve"> (Part V) is based on the absence or presence of public disclosure, not on confirmed internal practice — the reader’s own standard, restated from Appendix R, is to describe these as disclosure gaps rather than confirmed governance failures. Written work for this course should apply the same discipline: distinguish clearly between “the company has not publicly disclosed X” and “the company does not have X,” since these are different claims requiring different evidence, and conflating them is one of the more common errors in student analysis of real companies’ governance.</w:t>
      </w:r>
    </w:p>
    <w:p w14:paraId="46C1C2A1" w14:textId="77777777" w:rsidR="007C6AD8" w:rsidRDefault="00000000">
      <w:pPr>
        <w:pStyle w:val="Heading2"/>
      </w:pPr>
      <w:bookmarkStart w:id="75" w:name="closing-synthesis"/>
      <w:r>
        <w:t>Closing Synthesis</w:t>
      </w:r>
      <w:bookmarkEnd w:id="75"/>
    </w:p>
    <w:p w14:paraId="12547C93" w14:textId="77777777" w:rsidR="007C6AD8" w:rsidRDefault="00000000">
      <w:pPr>
        <w:pStyle w:val="FirstParagraph"/>
      </w:pPr>
      <w:r>
        <w:t>This reader’s central, restated thesis is that ESG and AI governance are best understood not as compliance checklists or as branding exercises, but as a board-level risk-and-value discipline that can be measured, however imperfectly, and that has real — if mixed and context-dependent — financial consequences. The fourteen-plus cases in Part II are not a list of villains and heroes; they are a working set of governance archetypes (Appendix Q) that recur across industries and geographies, from a Gulf-of-Mexico oil spill to a November 2023 AI-lab boardroom crisis. The measurement material in Part III is offered not so students memorize a single rating methodology, but so they develop the specific, transferable skill of reading a materiality assessment or an ESG score critically rather than accepting it at face value. And the applied comparison of Koç, Sabancı, and THY in Part V is meant to make one point concretely: strong, decade-long ESG disclosure discipline and a still-forming AI-governance structure can coexist in the same company, and the analytical task is to name that gap precisely — not to inflate it into a scandal, and not to explain it away as unimportant. Whatever position you take on Freeman versus Friedman, or on whether ESG “pays,” this reader’s actual test is whether you can apply its methods to a company you encounter after this course ends, not whether you can restate its examples.</w:t>
      </w:r>
    </w:p>
    <w:p w14:paraId="4E3BBDF6" w14:textId="77777777" w:rsidR="007C6AD8" w:rsidRDefault="00000000">
      <w:pPr>
        <w:pStyle w:val="Heading2"/>
      </w:pPr>
      <w:bookmarkStart w:id="76" w:name="Xc4f434b9d951aa236a9d210cca56b99597adc02"/>
      <w:r>
        <w:t>Appendix U — Sector Deep Dives: Banking, Industrials, and Aviation in Türkiye</w:t>
      </w:r>
      <w:bookmarkEnd w:id="76"/>
    </w:p>
    <w:p w14:paraId="64F366CC" w14:textId="77777777" w:rsidR="007C6AD8" w:rsidRDefault="00000000">
      <w:pPr>
        <w:pStyle w:val="FirstParagraph"/>
      </w:pPr>
      <w:r>
        <w:rPr>
          <w:b/>
        </w:rPr>
        <w:t>Banking and financial services.</w:t>
      </w:r>
      <w:r>
        <w:t xml:space="preserve"> Turkish banks operate under BRSA supervision domestically and, for internationally affiliated banks such as Garanti BBVA, an additional layer of group-level expectations from European parents (Appendix D.2). Model-risk-management discipline for credit-scoring and fraud-detection systems predates AI-governance terminology by years, meaning Turkish banks are, in general, further along on formal AI oversight than industrial holding companies of comparable size — a useful corrective to any assumption that AI-governance maturity tracks company size rather than sector-specific regulatory history. ESG disclosure in Turkish banking has also matured quickly, partly driven by sustainability-linked lending covenants imposed by international development-finance institutions (IFC, EBRD) as a condition of credit lines — an external discipline mechanism industrial holding companies typically do not face in the same way.</w:t>
      </w:r>
    </w:p>
    <w:p w14:paraId="68BB978B" w14:textId="77777777" w:rsidR="007C6AD8" w:rsidRDefault="00000000">
      <w:pPr>
        <w:pStyle w:val="BodyText"/>
      </w:pPr>
      <w:r>
        <w:rPr>
          <w:b/>
        </w:rPr>
        <w:t>Industrial holdings and manufacturing.</w:t>
      </w:r>
      <w:r>
        <w:t xml:space="preserve"> Koç and Sabancı’s industrial and manufacturing subsidiaries (Ford Otosan, Arçelik, Brisa, Kordsa, Çimsa) face materially different ESG issues from banking: direct emissions from manufacturing and energy-intensive processes (notably cement, at Çimsa), product-level circularity and take-back questions analogous to IKEA’s (Section 2.9), and supply-chain labor-practice exposure analogous to Nestlé’s (Section 2.11) given globally sourced raw materials. AI exposure at these subsidiaries is currently concentrated in manufacturing optimization and predictive maintenance rather than customer-facing generative AI, which is a lower public-scrutiny risk category than, say, an AI hiring tool (Amazon, Section 2.14) but not a zero-risk one, particularly as these subsidiaries expand supply-chain and workforce-scheduling AI tools.</w:t>
      </w:r>
    </w:p>
    <w:p w14:paraId="7FB19DDD" w14:textId="77777777" w:rsidR="007C6AD8" w:rsidRDefault="00000000">
      <w:pPr>
        <w:pStyle w:val="BodyText"/>
      </w:pPr>
      <w:r>
        <w:rPr>
          <w:b/>
        </w:rPr>
        <w:t>Aviation and transportation.</w:t>
      </w:r>
      <w:r>
        <w:t xml:space="preserve"> THY’s position (Section 5.3) is structurally distinct from both banking and industrials: its highest-materiality ESG issue (carbon emissions) is governed by a binding, sector-specific international framework (CORSIA) rather than a general disclosure standard, and its AI exposure spans crew </w:t>
      </w:r>
      <w:r>
        <w:lastRenderedPageBreak/>
        <w:t>scheduling, dynamic pricing, and predictive maintenance — each plausibly within the EU AI Act’s extraterritorial reach given THY’s European route density.</w:t>
      </w:r>
    </w:p>
    <w:p w14:paraId="5C02167A" w14:textId="77777777" w:rsidR="007C6AD8" w:rsidRDefault="00000000">
      <w:pPr>
        <w:pStyle w:val="BodyText"/>
      </w:pPr>
      <w:r>
        <w:rPr>
          <w:b/>
        </w:rPr>
        <w:t>Cross-sector synthesis.</w:t>
      </w:r>
      <w:r>
        <w:t xml:space="preserve"> The consistent finding across all three sectors is that ESG-issue materiality and AI-governance maturity both track sector-specific regulatory history closely — banking’s decades-old model-risk culture produces the most mature AI oversight; aviation’s binding sector-specific climate framework (CORSIA) produces some of the clearest, most quantifiable ESG commitments; and diversified industrials, lacking either a single dominant regulatory driver, show the most variable picture subsidiary to subsidiary. A board evaluating any diversified group’s ESG or AI-governance claims should disaggregate by subsidiary and sector rather than accept a single group-level statement, echoing Appendix O’s group-structure caution.</w:t>
      </w:r>
    </w:p>
    <w:p w14:paraId="57253570" w14:textId="77777777" w:rsidR="007C6AD8" w:rsidRDefault="00000000">
      <w:pPr>
        <w:pStyle w:val="Heading2"/>
      </w:pPr>
      <w:bookmarkStart w:id="77" w:name="Xd6bedf896f749f28f468945fd1563043bc47dec"/>
      <w:r>
        <w:t>Appendix V — The Investor and Asset-Manager Perspective</w:t>
      </w:r>
      <w:bookmarkEnd w:id="77"/>
    </w:p>
    <w:p w14:paraId="497FF1D6" w14:textId="77777777" w:rsidR="007C6AD8" w:rsidRDefault="00000000">
      <w:pPr>
        <w:pStyle w:val="FirstParagraph"/>
      </w:pPr>
      <w:r>
        <w:rPr>
          <w:b/>
        </w:rPr>
        <w:t>Integrating ESG and AI-governance signals into security selection.</w:t>
      </w:r>
      <w:r>
        <w:t xml:space="preserve"> Institutional investors increasingly treat ESG and AI-governance quality as inputs into fundamental analysis rather than as a separate “sustainable investing” silo — a governance gap of the kind identified for Koç, Sabancı, or THY is, in this framing, simply a risk factor an analyst should price into a valuation or a credit assessment, using the same scorecard discipline recommended in Section 3.3, rather than a separate ESG-specific judgment applied after the financial analysis is complete.</w:t>
      </w:r>
    </w:p>
    <w:p w14:paraId="4C6D8B03" w14:textId="77777777" w:rsidR="007C6AD8" w:rsidRDefault="00000000">
      <w:pPr>
        <w:pStyle w:val="BodyText"/>
      </w:pPr>
      <w:r>
        <w:rPr>
          <w:b/>
        </w:rPr>
        <w:t>Engagement versus divestment on governance gaps.</w:t>
      </w:r>
      <w:r>
        <w:t xml:space="preserve"> Large, diversified institutional investors (pension funds, sovereign wealth funds, major asset managers) increasingly favor engagement — direct dialogue and voting pressure, as in the Engine No. 1 precedent (Appendix H) — over divestment for governance gaps specifically, on the reasoning that a sold stake has no further influence over the company’s practice, while continued ownership paired with active engagement can produce the specific remediation (a named AI committee, a published charter) that resolves the gap. Divestment remains more common for issues seen as values-based exclusions (weapons, tobacco) than for governance-maturity gaps of the kind this reader focuses on.</w:t>
      </w:r>
    </w:p>
    <w:p w14:paraId="217ADDFD" w14:textId="77777777" w:rsidR="007C6AD8" w:rsidRDefault="00000000">
      <w:pPr>
        <w:pStyle w:val="BodyText"/>
      </w:pPr>
      <w:r>
        <w:rPr>
          <w:b/>
        </w:rPr>
        <w:t>Portfolio-level AI-governance risk aggregation.</w:t>
      </w:r>
      <w:r>
        <w:t xml:space="preserve"> A newer practice among sophisticated asset owners is aggregating AI-governance exposure across an entire portfolio — asking not “does any single holding have an AI-governance gap” but “what is the portfolio’s aggregate exposure to AI-governance risk, weighted by position size and by how AI-exposed each holding’s business model actually is.” This portfolio-level view would treat a technology-sector holding with a weak AI-governance structure as a larger portfolio risk than an industrial holding with the same governance gap but far less AI exposure — directly paralleling this reader’s repeated point (Appendix D.1) that AI-governance maturity should be benchmarked against actual AI exposure, not judged on a flat scale.</w:t>
      </w:r>
    </w:p>
    <w:p w14:paraId="01A2FBF8" w14:textId="77777777" w:rsidR="007C6AD8" w:rsidRDefault="00000000">
      <w:pPr>
        <w:pStyle w:val="BodyText"/>
      </w:pPr>
      <w:r>
        <w:rPr>
          <w:b/>
        </w:rPr>
        <w:t>Implications for Turkish capital markets.</w:t>
      </w:r>
      <w:r>
        <w:t xml:space="preserve"> As foreign institutional ownership of BIST-listed companies continues and as TSRS adoption matures, expect the engagement dynamic described above to extend more actively to Turkish issuers, including specifically around the AI-governance gap this reader has identified for Koç, Sabancı, and THY — a plausible, concrete prediction for the 2026–2028 window flagged in Part VI.</w:t>
      </w:r>
    </w:p>
    <w:p w14:paraId="64A91064" w14:textId="77777777" w:rsidR="007C6AD8" w:rsidRDefault="00000000">
      <w:pPr>
        <w:pStyle w:val="Heading2"/>
      </w:pPr>
      <w:bookmarkStart w:id="78" w:name="X5fe2eff81eea1baec42c109d64403cf1ddadcb1"/>
      <w:r>
        <w:t>Appendix W — Workforce and Human-Capital Dimensions</w:t>
      </w:r>
      <w:bookmarkEnd w:id="78"/>
    </w:p>
    <w:p w14:paraId="44E6A81E" w14:textId="77777777" w:rsidR="007C6AD8" w:rsidRDefault="00000000">
      <w:pPr>
        <w:pStyle w:val="FirstParagraph"/>
      </w:pPr>
      <w:r>
        <w:rPr>
          <w:b/>
        </w:rPr>
        <w:t>Workforce consequences of ESG transition strategies.</w:t>
      </w:r>
      <w:r>
        <w:t xml:space="preserve"> A “just transition” (Section 5.2) is fundamentally a workforce question: workers in a company’s legacy carbon-intensive assets need redeployment, retraining, or income support as those assets wind down, and a transition plan that reports only aggregate emissions reduction without workforce detail — the gap this reader flags for Sabancı/Enerjisa — leaves exactly the question a labor-focused stakeholder or activist investor is most likely to press on.</w:t>
      </w:r>
    </w:p>
    <w:p w14:paraId="5FCC5965" w14:textId="77777777" w:rsidR="007C6AD8" w:rsidRDefault="00000000">
      <w:pPr>
        <w:pStyle w:val="BodyText"/>
      </w:pPr>
      <w:r>
        <w:rPr>
          <w:b/>
        </w:rPr>
        <w:t>Workforce consequences of AI deployment.</w:t>
      </w:r>
      <w:r>
        <w:t xml:space="preserve"> AI deployment raises a parallel but distinct workforce question: which roles are being automated, augmented, or eliminated, and is there a comparable redeployment or retraining </w:t>
      </w:r>
      <w:r>
        <w:lastRenderedPageBreak/>
        <w:t>commitment, or does the company’s AI-governance disclosure (already thin across all three Turkish running cases, per Part V) address technical risk and compliance but stay silent on workforce impact entirely? A complete AI-governance disclosure, by the standard this reader has been building throughout, should address both dimensions.</w:t>
      </w:r>
    </w:p>
    <w:p w14:paraId="3D8E5102" w14:textId="77777777" w:rsidR="007C6AD8" w:rsidRDefault="00000000">
      <w:pPr>
        <w:pStyle w:val="BodyText"/>
      </w:pPr>
      <w:r>
        <w:rPr>
          <w:b/>
        </w:rPr>
        <w:t>A combined recommendation.</w:t>
      </w:r>
      <w:r>
        <w:t xml:space="preserve"> Boards overseeing both an ESG transition and an AI deployment program should consider a single, combined workforce-impact reporting line — tracking redeployment, retraining, and net workforce change from both sources together — rather than treating them as unrelated disclosure tracks, since from an affected employee’s perspective, a role eliminated by decarbonization and a role eliminated by automation are the same underlying governance question: did the company plan for the transition, or only announce the outcome.</w:t>
      </w:r>
    </w:p>
    <w:p w14:paraId="17C680FC" w14:textId="77777777" w:rsidR="007C6AD8" w:rsidRDefault="00000000">
      <w:pPr>
        <w:pStyle w:val="Heading2"/>
      </w:pPr>
      <w:bookmarkStart w:id="79" w:name="X7f08605e48a1ffa73157dd65d5d8ef8f93fb0d2"/>
      <w:r>
        <w:t>Appendix X — Extended Board Committee Charter Elements</w:t>
      </w:r>
      <w:bookmarkEnd w:id="79"/>
    </w:p>
    <w:p w14:paraId="354F136C" w14:textId="77777777" w:rsidR="007C6AD8" w:rsidRDefault="00000000">
      <w:pPr>
        <w:pStyle w:val="FirstParagraph"/>
      </w:pPr>
      <w:r>
        <w:t xml:space="preserve">Beyond the purpose clause in Appendix F, a complete AI-governance (or combined ESG/AI) committee charter typically specifies: </w:t>
      </w:r>
      <w:r>
        <w:rPr>
          <w:b/>
        </w:rPr>
        <w:t>composition</w:t>
      </w:r>
      <w:r>
        <w:t xml:space="preserve"> (a minimum number of independent directors, and increasingly an explicit requirement for at least one director with demonstrable technology or data-science background, mirroring the “financial expert” requirement common on audit committees); </w:t>
      </w:r>
      <w:r>
        <w:rPr>
          <w:b/>
        </w:rPr>
        <w:t>reporting and escalation</w:t>
      </w:r>
      <w:r>
        <w:t xml:space="preserve"> (a defined cadence for reporting to the full board, and a defined threshold — a confirmed bias incident, a regulatory inquiry, a material vendor-system failure — that triggers escalation outside the normal reporting cycle rather than waiting for the next scheduled meeting); and </w:t>
      </w:r>
      <w:r>
        <w:rPr>
          <w:b/>
        </w:rPr>
        <w:t>review cadence</w:t>
      </w:r>
      <w:r>
        <w:t xml:space="preserve"> (an annual charter review to ensure the committee’s mandate keeps pace with the company’s actual AI deployment, since a charter written for today’s use cases can become outdated quickly given how fast deployment scope tends to expand). For a Turkish holding-company context specifically, adapting these templates should also address group-versus-subsidiary scope (Appendix O) explicitly in the charter’s composition and reporting clauses, rather than leaving the group/subsidiary boundary implicit.</w:t>
      </w:r>
    </w:p>
    <w:p w14:paraId="35A8E1D7" w14:textId="77777777" w:rsidR="007C6AD8" w:rsidRDefault="00000000">
      <w:pPr>
        <w:pStyle w:val="Heading2"/>
      </w:pPr>
      <w:bookmarkStart w:id="80" w:name="Xbec9d162ba9793cc7528b51bb847d42336face6"/>
      <w:r>
        <w:t>Appendix Y — Instructor Notes on Using This Coursepack</w:t>
      </w:r>
      <w:bookmarkEnd w:id="80"/>
    </w:p>
    <w:p w14:paraId="2AECB326" w14:textId="77777777" w:rsidR="007C6AD8" w:rsidRDefault="00000000">
      <w:pPr>
        <w:pStyle w:val="FirstParagraph"/>
      </w:pPr>
      <w:r>
        <w:rPr>
          <w:b/>
        </w:rPr>
        <w:t>Suggested session allocation.</w:t>
      </w:r>
      <w:r>
        <w:t xml:space="preserve"> A single three-hour session can cover Parts I–II (frameworks and cases) in the first half and Parts III–VI (measurement, value, applied comparison, and outlook) in the second half, using the discussion questions to anchor small-group work between the two halves.</w:t>
      </w:r>
    </w:p>
    <w:p w14:paraId="55A17B91" w14:textId="77777777" w:rsidR="007C6AD8" w:rsidRDefault="00000000">
      <w:pPr>
        <w:pStyle w:val="BodyText"/>
      </w:pPr>
      <w:r>
        <w:rPr>
          <w:b/>
        </w:rPr>
        <w:t>Common student misconceptions to address.</w:t>
      </w:r>
      <w:r>
        <w:t xml:space="preserve"> Students frequently conflate a single ESG rating with a complete governance assessment (address directly using Section 3.2’s rater-divergence material); treat “the company hasn’t disclosed X” as equivalent to “the company doesn’t have X” (address using Appendix R/T’s evidentiary-discipline discussion); and assume Freeman and Friedman are mutually exclusive positions a board must choose between, rather than complementary lenses applied to different types of decisions (address using Section 1.1 directly).</w:t>
      </w:r>
    </w:p>
    <w:p w14:paraId="2F0E3D72" w14:textId="77777777" w:rsidR="007C6AD8" w:rsidRDefault="00000000">
      <w:pPr>
        <w:pStyle w:val="BodyText"/>
      </w:pPr>
      <w:r>
        <w:rPr>
          <w:b/>
        </w:rPr>
        <w:t>Grading calibration note.</w:t>
      </w:r>
      <w:r>
        <w:t xml:space="preserve"> Strong written work on this reader’s material distinguishes clearly between disclosure gaps and confirmed governance failures, applies the Section 3.3 scorecard method with specific, defensible scores rather than vague qualitative judgment, and engages with the mixed evidence in Part IV rather than asserting “ESG pays” or “ESG doesn’t matter” as an unqualified conclusion.</w:t>
      </w:r>
    </w:p>
    <w:p w14:paraId="50581B1A" w14:textId="77777777" w:rsidR="007C6AD8" w:rsidRDefault="00000000">
      <w:pPr>
        <w:pStyle w:val="Heading2"/>
      </w:pPr>
      <w:bookmarkStart w:id="81" w:name="appendix-z-master-cross-reference-index"/>
      <w:r>
        <w:t>Appendix Z — Master Cross-Reference Index</w:t>
      </w:r>
      <w:bookmarkEnd w:id="81"/>
    </w:p>
    <w:p w14:paraId="5F14825F" w14:textId="77777777" w:rsidR="007C6AD8" w:rsidRDefault="00000000">
      <w:pPr>
        <w:pStyle w:val="FirstParagraph"/>
      </w:pPr>
      <w:r>
        <w:t>Stakeholder vs. shareholder theory: Section 1.1. Materiality: Section 1.2, Appendix J. Case archetypes: Appendix Q. Rating methodology and divergence: Section 3.2, Appendix B.1. Scorecard method: Section 3.3, worked example at Appendix B.2. AI governance frameworks: Section 3.4, Appendix F. Value evidence: Part IV, Appendix C. Koç/Sabancı/THY: Part V, Appendix D, Appendix U. Forward outlook: Part VI. Jurisdictional AI regulation: Appendix E. Investor stewardship: Appendix H, Appendix V. Workforce dimensions: Appendix W. Instructor use: Appendix Y.</w:t>
      </w:r>
    </w:p>
    <w:p w14:paraId="30DA4CC1" w14:textId="77777777" w:rsidR="007C6AD8" w:rsidRDefault="00000000">
      <w:pPr>
        <w:pStyle w:val="Heading2"/>
      </w:pPr>
      <w:bookmarkStart w:id="82" w:name="X97aa351fc2abd59686fe2129fade4ae7fd56be1"/>
      <w:r>
        <w:lastRenderedPageBreak/>
        <w:t>Appendix AA — Three Further Governance Vignettes</w:t>
      </w:r>
      <w:bookmarkEnd w:id="82"/>
    </w:p>
    <w:p w14:paraId="41BF6493" w14:textId="77777777" w:rsidR="007C6AD8" w:rsidRDefault="00000000">
      <w:pPr>
        <w:pStyle w:val="CaseHeading"/>
      </w:pPr>
      <w:bookmarkStart w:id="83" w:name="X171dc69e64b9b18d833d528227942c90d7b9d8b"/>
      <w:r>
        <w:t>AA.1 DWS/Deutsche Bank: A Greenwashing Enforcement Landmark (2021–2022)</w:t>
      </w:r>
      <w:bookmarkEnd w:id="83"/>
    </w:p>
    <w:p w14:paraId="66823AC9" w14:textId="77777777" w:rsidR="007C6AD8" w:rsidRDefault="00000000">
      <w:pPr>
        <w:pStyle w:val="CaseBody"/>
      </w:pPr>
      <w:r>
        <w:t>In 2021, DWS Group’s former head of sustainability publicly alleged that the asset manager had overstated the extent to which ESG criteria were integrated into its investment process, describing a gap between marketing claims and actual portfolio practice. German and U.S. regulators (BaFin and the SEC) opened parallel investigations; in 2022, German police raided DWS and Deutsche Bank offices as part of the inquiry, and DWS ultimately paid a combined settlement exceeding €25 million across the two regulators in 2023. The case is one of the clearest illustrations of Section 4.4’s caution about ESG-labeled financial products: the underlying allegation was not that DWS harmed the environment, but that its ESG-branded funds did not actually apply the ESG integration process their marketing materials described — a pure disclosure-integrity failure, prosecuted with the same enforcement tools used for conventional securities fraud.</w:t>
      </w:r>
    </w:p>
    <w:p w14:paraId="2D1613A0" w14:textId="77777777" w:rsidR="007C6AD8" w:rsidRDefault="00000000">
      <w:pPr>
        <w:pStyle w:val="CaseHeading"/>
      </w:pPr>
      <w:bookmarkStart w:id="84" w:name="Xcf961a28e3b28fbb1240aa336bb029e6386046e"/>
      <w:r>
        <w:t>AA.2 Uber and Gig-Economy Algorithmic Wage-Setting</w:t>
      </w:r>
      <w:bookmarkEnd w:id="84"/>
    </w:p>
    <w:p w14:paraId="42FBBC76" w14:textId="77777777" w:rsidR="007C6AD8" w:rsidRDefault="00000000">
      <w:pPr>
        <w:pStyle w:val="CaseBody"/>
      </w:pPr>
      <w:r>
        <w:t>Ride-hailing and delivery platforms’ use of algorithmic, real-time wage and pricing systems has drawn sustained regulatory and worker-organizing scrutiny in multiple jurisdictions (UK Supreme Court’s 2021 ruling classifying Uber drivers as workers entitled to minimum wage protections; EU Platform Work Directive negotiations targeting algorithmic-management transparency specifically). The governance question is distinct from the AI-bias cases in Part II: the algorithm is not making a hiring or lending decision with a discrete right-or-wrong answer, but setting continuously variable compensation and work-allocation terms in ways that are difficult for the affected worker to see or contest — the “black box” problem in a context with direct, ongoing income consequences, and an emerging test case for how “algorithmic accountability” concepts extend beyond the hiring and lending contexts most AI-governance frameworks were originally built around.</w:t>
      </w:r>
    </w:p>
    <w:p w14:paraId="4E79E4D1" w14:textId="77777777" w:rsidR="007C6AD8" w:rsidRDefault="00000000">
      <w:pPr>
        <w:pStyle w:val="CaseHeading"/>
      </w:pPr>
      <w:bookmarkStart w:id="85" w:name="Xe084124ab63e24d9d1345a4e25ba5cfc1be5277"/>
      <w:r>
        <w:t>AA.3 Boohoo’s Leicester Supply-Chain Scandal (2020)</w:t>
      </w:r>
      <w:bookmarkEnd w:id="85"/>
    </w:p>
    <w:p w14:paraId="354BF99F" w14:textId="77777777" w:rsidR="007C6AD8" w:rsidRDefault="00000000">
      <w:pPr>
        <w:pStyle w:val="CaseBody"/>
      </w:pPr>
      <w:r>
        <w:t>A 2020 investigative report alleged that garment workers at a Leicester, UK, factory supplying fast-fashion retailer Boohoo were paid well below minimum wage and worked in unsafe conditions during COVID-19 lockdowns, despite Boohoo’s supplier code of conduct. An independent review commissioned by Boohoo’s own board substantiated many of the allegations and found the company’s supplier-oversight processes inadequate to detect the practices, leading to a public governance overhaul, exclusion from some retail platforms, and a sharp share-price decline. Read alongside Nestlé’s cocoa-supply-chain litigation (Section 2.11), the case reinforces a recurring theme: a written supplier code is not a governance control by itself — the control is the verification process behind it, and Boohoo’s own board-commissioned review found that verification process wanting.</w:t>
      </w:r>
    </w:p>
    <w:p w14:paraId="3EB41E7B" w14:textId="77777777" w:rsidR="007C6AD8" w:rsidRDefault="00000000">
      <w:pPr>
        <w:pStyle w:val="Heading2"/>
      </w:pPr>
      <w:bookmarkStart w:id="86" w:name="X6c8c5595edd01389759645feefad3793d5075da"/>
      <w:r>
        <w:t>Appendix BB — Executive Compensation Applied to the Three Running Cases</w:t>
      </w:r>
      <w:bookmarkEnd w:id="86"/>
    </w:p>
    <w:p w14:paraId="1F0226BB" w14:textId="77777777" w:rsidR="007C6AD8" w:rsidRDefault="00000000">
      <w:pPr>
        <w:pStyle w:val="FirstParagraph"/>
      </w:pPr>
      <w:r>
        <w:t xml:space="preserve">Applying Appendix C.2’s compensation-design diligence question to the three Turkish running cases illustrates the same disclosure-gap pattern found throughout Part V. Publicly available compensation disclosure for large Turkish holding companies, including Koç and Sabancı, typically describes ESG-linked compensation at a general, qualitative level (statements that sustainability performance factors into leadership evaluation) without the specific-metric, specific-weight detail that would let an external analyst verify how much the incentive actually bites. This is not unusual by global standards — many companies outside the largest multinationals disclose ESG-linked pay only qualitatively — but it is the same category of gap this reader has flagged repeatedly: a real commitment that is difficult to verify externally versus one that is fully verifiable. A specific, low-cost next step consistent with this </w:t>
      </w:r>
      <w:r>
        <w:lastRenderedPageBreak/>
        <w:t>reader’s general recommendation (Part VI, Appendix F) would be disclosing the specific metrics and weights behind any ESG- or AI-governance-linked compensation component for senior executives at all three companies, giving external stakeholders the same verifiability this reader has recommended for AI-governance committee structures.</w:t>
      </w:r>
    </w:p>
    <w:p w14:paraId="3094A9CD" w14:textId="77777777" w:rsidR="007C6AD8" w:rsidRDefault="00000000">
      <w:pPr>
        <w:pStyle w:val="Heading2"/>
      </w:pPr>
      <w:bookmarkStart w:id="87" w:name="X91e6f80a373bc2ac7d76bbc421790facd00ae3f"/>
      <w:r>
        <w:t>Appendix CC — TSRS and the BIST Sustainability Index: A Turkey-Specific Deep Dive</w:t>
      </w:r>
      <w:bookmarkEnd w:id="87"/>
    </w:p>
    <w:p w14:paraId="5242FD74" w14:textId="77777777" w:rsidR="007C6AD8" w:rsidRDefault="00000000">
      <w:pPr>
        <w:pStyle w:val="FirstParagraph"/>
      </w:pPr>
      <w:r>
        <w:t>Türkiye’s move toward ISSB-aligned reporting through TSRS (Türkiye Sustainability Reporting Standards) is a significant convergence event for the measurement discussion in Part III: it means Turkish issuers’ disclosure will increasingly map onto the same investor-focused, financial-materiality-weighted baseline used across much of Asia and the Gulf, making cross-border comparison with international peers considerably more tractable than under the more fragmented voluntary disclosure practices common before TSRS. The BIST Sustainability Index, Borsa Istanbul’s home-grown ESG index (predating TSRS), uses its own scoring methodology weighted toward environmental, social, and governance disclosure completeness and has included both Koç and Sabancı group companies historically; as TSRS adoption matures, expect BIST’s own methodology to move closer to ISSB-aligned criteria over the 2026–2028 window, narrowing the gap between “made for the Turkish market” and “globally comparable” ESG scoring for Turkish issuers — directly relevant to how analysts should read Koç, Sabancı, and THY’s disclosure over the same period.</w:t>
      </w:r>
    </w:p>
    <w:p w14:paraId="6F023F21" w14:textId="77777777" w:rsidR="007C6AD8" w:rsidRDefault="00000000">
      <w:pPr>
        <w:pStyle w:val="Heading2"/>
      </w:pPr>
      <w:bookmarkStart w:id="88" w:name="X7e6ecb9d551fe74d99923db4e7f46c262d5c227"/>
      <w:r>
        <w:t>Appendix DD — Reconciling Rating Divergence in Practice: A Worked Walkthrough</w:t>
      </w:r>
      <w:bookmarkEnd w:id="88"/>
    </w:p>
    <w:p w14:paraId="443CB5B9" w14:textId="77777777" w:rsidR="007C6AD8" w:rsidRDefault="00000000">
      <w:pPr>
        <w:pStyle w:val="FirstParagraph"/>
      </w:pPr>
      <w:r>
        <w:t>Suppose an analyst finds that Company X carries an MSCI rating of “A” and a Sustainalytics score placing it in the “medium risk” (roughly middle-of-scale) category. Applying Section 3.2’s method rather than treating these as contradictory: first, recognize MSCI’s “A” is a relative, peer-adjusted score (better-managed than most industry peers on the risks MSCI weights), while Sustainalytics’ “medium risk” is an absolute unmanaged-risk measure (real residual risk remains, regardless of peer comparison) — these can both be true simultaneously without contradiction, since “better than peers” and “still has real absolute risk” are compatible statements about an industry where every peer carries meaningful ESG risk. Second, check which specific factors drive each score — if MSCI’s favorable relative score is driven heavily by governance factors while Sustainalytics’ medium-risk flag is driven by an unresolved environmental exposure, the two scores are actually describing different parts of the same company’s risk profile rather than disagreeing about the same thing. This walkthrough is the applied version of the general principle in Section 3.2: divergence is often a scope-and-method difference, not a factual disagreement, and the analyst’s job is to identify which before drawing a conclusion.</w:t>
      </w:r>
    </w:p>
    <w:p w14:paraId="681440DD" w14:textId="77777777" w:rsidR="007C6AD8" w:rsidRDefault="00000000">
      <w:pPr>
        <w:pStyle w:val="Heading2"/>
      </w:pPr>
      <w:bookmarkStart w:id="89" w:name="Xdc7ff2728d0f0f36d07f745d8a9be1ce875b15c"/>
      <w:r>
        <w:t>Appendix EE — A Consolidated Course Deliverable Rubric</w:t>
      </w:r>
      <w:bookmarkEnd w:id="89"/>
    </w:p>
    <w:p w14:paraId="6C094323" w14:textId="77777777" w:rsidR="007C6AD8" w:rsidRDefault="00000000">
      <w:pPr>
        <w:pStyle w:val="FirstParagraph"/>
      </w:pPr>
      <w:r>
        <w:t xml:space="preserve">For written work applying this reader’s material, the following consolidated rubric applies across the discussion questions and essay prompts: </w:t>
      </w:r>
      <w:r>
        <w:rPr>
          <w:b/>
        </w:rPr>
        <w:t>(1) Framework application (25%)</w:t>
      </w:r>
      <w:r>
        <w:t xml:space="preserve"> — correct, specific use of Section 1.1/1.2’s frameworks or Section 3.3’s scorecard method, not just naming them. </w:t>
      </w:r>
      <w:r>
        <w:rPr>
          <w:b/>
        </w:rPr>
        <w:t>(2) Evidentiary discipline (25%)</w:t>
      </w:r>
      <w:r>
        <w:t xml:space="preserve"> — clear distinction between confirmed fact, provisional/disclosure-gap claims, and speculation, per Appendix T. </w:t>
      </w:r>
      <w:r>
        <w:rPr>
          <w:b/>
        </w:rPr>
        <w:t>(3) Case specificity (25%)</w:t>
      </w:r>
      <w:r>
        <w:t xml:space="preserve"> — arguments grounded in the specific facts of a named case (Part II, appendices) rather than generic statements about “companies” or “ESG” in the abstract. </w:t>
      </w:r>
      <w:r>
        <w:rPr>
          <w:b/>
        </w:rPr>
        <w:t>(4) Practical judgment (25%)</w:t>
      </w:r>
      <w:r>
        <w:t xml:space="preserve"> — a clear, defensible recommendation or conclusion, including an honest treatment of counter-evidence (per Part IV’s mixed-evidence discussion) rather than a one-sided argument.</w:t>
      </w:r>
    </w:p>
    <w:p w14:paraId="3A618249" w14:textId="77777777" w:rsidR="007C6AD8" w:rsidRDefault="00000000">
      <w:pPr>
        <w:pStyle w:val="Heading2"/>
      </w:pPr>
      <w:bookmarkStart w:id="90" w:name="a-note-on-sourcing-certainty"/>
      <w:r>
        <w:lastRenderedPageBreak/>
        <w:t>A Note on Sourcing Certainty</w:t>
      </w:r>
      <w:bookmarkEnd w:id="90"/>
    </w:p>
    <w:p w14:paraId="49D00C00" w14:textId="77777777" w:rsidR="007C6AD8" w:rsidRDefault="00000000">
      <w:pPr>
        <w:pStyle w:val="FirstParagraph"/>
      </w:pPr>
      <w:r>
        <w:t xml:space="preserve">Claims in this reader fall into three evidentiary tiers, and written work for this course should track which tier a given claim belongs to. </w:t>
      </w:r>
      <w:r>
        <w:rPr>
          <w:b/>
        </w:rPr>
        <w:t>Tier one</w:t>
      </w:r>
      <w:r>
        <w:t xml:space="preserve"> — well-documented, court- or regulator-confirmed facts (BP’s cleanup costs, Volkswagen’s guilty pleas, the Shell court rulings, the SEC/DWS settlements) — can be cited with confidence. </w:t>
      </w:r>
      <w:r>
        <w:rPr>
          <w:b/>
        </w:rPr>
        <w:t>Tier two</w:t>
      </w:r>
      <w:r>
        <w:t xml:space="preserve"> — company self-disclosed claims (sustainability report figures, stated policy commitments) — should be cited as “the company states,” not as independently verified fact. </w:t>
      </w:r>
      <w:r>
        <w:rPr>
          <w:b/>
        </w:rPr>
        <w:t>Tier three</w:t>
      </w:r>
      <w:r>
        <w:t xml:space="preserve"> — this reader’s own provisional inferences (the Koç/Sabancı/THY AI-governance gap, drawn from absence of public disclosure) should be cited as exactly that: an inference from available public information, not a confirmed finding about internal company practice.</w:t>
      </w:r>
    </w:p>
    <w:p w14:paraId="4D6941E7" w14:textId="77777777" w:rsidR="007C6AD8" w:rsidRDefault="00000000">
      <w:pPr>
        <w:pStyle w:val="Heading2"/>
      </w:pPr>
      <w:bookmarkStart w:id="91" w:name="X5f9f40a5b4a90ef4ebd022f8954d75417e44d08"/>
      <w:r>
        <w:t>Appendix FF — Full Double-Materiality Assessments: Koç, Sabancı, and THY</w:t>
      </w:r>
      <w:bookmarkEnd w:id="91"/>
    </w:p>
    <w:p w14:paraId="5A1215F4" w14:textId="77777777" w:rsidR="007C6AD8" w:rsidRDefault="00000000">
      <w:pPr>
        <w:pStyle w:val="FirstParagraph"/>
      </w:pPr>
      <w:r>
        <w:t>Building directly on the scorecard method (Section 3.3) and the worked illustrative example (Appendix B.2), the following applies the method specifically and completely to each of the three running cases, as a model for the kind of assessment the discussion questions and workshop brief (Appendix N) ask you to produce yourself.</w:t>
      </w:r>
    </w:p>
    <w:p w14:paraId="02E12615" w14:textId="77777777" w:rsidR="007C6AD8" w:rsidRDefault="00000000">
      <w:pPr>
        <w:pStyle w:val="BodyText"/>
      </w:pPr>
      <w:r>
        <w:rPr>
          <w:b/>
        </w:rPr>
        <w:t>Koç Holding — full assessment.</w:t>
      </w:r>
      <w:r>
        <w:t xml:space="preserve"> Material issues: (1) product-level decarbonization across Ford Otosan and Arçelik (financial materiality 5, impact materiality 5 — EV transition directly affects competitiveness and reflects a large real-world emissions footprint); (2) refining-sector transition risk at Tüpraş (financial materiality 5, impact materiality 4 — a core earnings driver facing long-run transition pressure); (3) AI governance across the group’s increasingly automated manufacturing and financial-services operations (financial materiality 3, impact materiality 3 — moderate today, rising as deployment expands, with the governance-structure gap flagged in Part V as the key uncertainty); (4) board independence and family-holding governance structure (financial materiality 3, impact materiality 2 — a standard emerging-market governance consideration, professionally managed at Koç relative to regional peers). Overall read: Koç’s strongest, most verifiable material issue (decarbonization) is backed by the strongest disclosure track record (DJSI/S&amp;P CSA); its weakest-verified issue (AI governance) is exactly the one this reader has flagged as a general gap across large industrial holding companies globally, not a Koç-specific weakness.</w:t>
      </w:r>
    </w:p>
    <w:p w14:paraId="127EB173" w14:textId="77777777" w:rsidR="007C6AD8" w:rsidRDefault="00000000">
      <w:pPr>
        <w:pStyle w:val="BodyText"/>
      </w:pPr>
      <w:r>
        <w:rPr>
          <w:b/>
        </w:rPr>
        <w:t>Sabancı Holding — full assessment.</w:t>
      </w:r>
      <w:r>
        <w:t xml:space="preserve"> Material issues: (1) Enerjisa’s thermal-to-renewables transition (financial materiality 5, impact materiality 5 — the clearest, highest-stakes issue in the portfolio); (2) just-transition/workforce impact of that same transition (financial materiality 3, impact materiality 4 — lower direct financial exposure than the transition itself, but high real-world impact and, per Section 5.2, currently under-disclosed at the workforce-detail level); (3) Akbank’s model-risk governance for AI-driven credit and fraud systems (financial materiality 4, impact materiality 3 — inherits the banking-sector model-risk maturity discussed in Appendix U, a comparative strength within the group); (4) Çimsa’s direct-emissions exposure as a cement producer (financial materiality 4, impact materiality 5 — cement is among the most emissions-intensive industrial processes, a genuinely high-impact-materiality issue). Overall read: Sabancı’s group-level ESG rating strength is real but uneven across subsidiaries — Akbank’s AI/model governance is comparatively mature, while Enerjisa’s just-transition workforce disclosure is the group’s clearest gap.</w:t>
      </w:r>
    </w:p>
    <w:p w14:paraId="216A36A3" w14:textId="77777777" w:rsidR="007C6AD8" w:rsidRDefault="00000000">
      <w:pPr>
        <w:pStyle w:val="BodyText"/>
      </w:pPr>
      <w:r>
        <w:rPr>
          <w:b/>
        </w:rPr>
        <w:t>Turkish Airlines (THY) — full assessment.</w:t>
      </w:r>
      <w:r>
        <w:t xml:space="preserve"> Material issues: (1) aviation emissions and CORSIA/SAF compliance (financial materiality 5, impact materiality 5 — the sector’s dominant material issue, addressed with concrete, verifiable action per Section 5.3); (2) AI governance for crew-scheduling, dynamic-pricing, and predictive-maintenance systems under EU AI Act extraterritorial exposure (financial materiality 4, impact materiality 3 — high financial materiality specifically because of the regulatory exposure, moderate direct real-world impact); (3) labor relations and workforce management in a highly unionized, safety-critical workforce (financial materiality 4, impact materiality 4 — aviation labor disputes carry both direct financial and real operational-safety stakes); (4) data privacy for passenger and loyalty-program data (financial materiality 3, impact materiality 3 — a standard, moderate issue for any large consumer-facing carrier). Overall read: THY’s single highest-materiality issue (emissions/CORSIA) is also its best-disclosed; its AI-governance issue, while lower on impact materiality than </w:t>
      </w:r>
      <w:r>
        <w:lastRenderedPageBreak/>
        <w:t>emissions, carries outsized financial materiality specifically because of EU AI Act extraterritorial enforcement risk — making it, by this reader’s method, the single highest-priority item for THY’s board to formalize in the next reporting cycle.</w:t>
      </w:r>
    </w:p>
    <w:p w14:paraId="02BEDBFE" w14:textId="77777777" w:rsidR="007C6AD8" w:rsidRDefault="00000000">
      <w:pPr>
        <w:pStyle w:val="BodyText"/>
      </w:pPr>
      <w:r>
        <w:rPr>
          <w:b/>
        </w:rPr>
        <w:t>Cross-company synthesis.</w:t>
      </w:r>
      <w:r>
        <w:t xml:space="preserve"> All three companies show the same structural pattern this reader has now documented from several angles (Section 3.3, Part V, Appendix FF): the highest-materiality </w:t>
      </w:r>
      <w:r>
        <w:rPr>
          <w:i/>
        </w:rPr>
        <w:t>industrial or sector-specific</w:t>
      </w:r>
      <w:r>
        <w:t xml:space="preserve"> issue at each company (decarbonization at Koç, the energy transition at Sabancı, CORSIA/SAF at THY) is also the most rigorously disclosed, while AI governance — present at meaningful, rising materiality at all three — remains the least externally verifiable issue across the group. This is the single clearest, most actionable finding of the applied comparison in Part V, restated here in fully worked form.</w:t>
      </w:r>
    </w:p>
    <w:p w14:paraId="6F0A4B67" w14:textId="77777777" w:rsidR="007C6AD8" w:rsidRDefault="00000000">
      <w:pPr>
        <w:pStyle w:val="Heading2"/>
      </w:pPr>
      <w:bookmarkStart w:id="92" w:name="X94dd00ed4eeb4cc62a20f7eb7be46593401b7bc"/>
      <w:r>
        <w:t>Appendix GG — Vendor AI Due Diligence: An Expanded Board Checklist</w:t>
      </w:r>
      <w:bookmarkEnd w:id="92"/>
    </w:p>
    <w:p w14:paraId="78FBAE18" w14:textId="77777777" w:rsidR="007C6AD8" w:rsidRDefault="00000000">
      <w:pPr>
        <w:pStyle w:val="FirstParagraph"/>
      </w:pPr>
      <w:r>
        <w:t xml:space="preserve">Beyond the general AI-governance checklist in Appendix F, vendor-procured AI systems (as opposed to internally built ones) warrant specific additional diligence, since the OpenAI, Amazon, and Clearview cases above all involve, in different ways, questions about what a company can verify about AI capability it did not build itself. A board should ask, for any material vendor-procured AI system: </w:t>
      </w:r>
      <w:r>
        <w:rPr>
          <w:b/>
        </w:rPr>
        <w:t>Can the vendor explain, at a level the company’s own technical staff can independently assess, how the system reaches its outputs</w:t>
      </w:r>
      <w:r>
        <w:t xml:space="preserve"> (not just a marketing-level “black box” assurance)? </w:t>
      </w:r>
      <w:r>
        <w:rPr>
          <w:b/>
        </w:rPr>
        <w:t>Does the contract include audit rights</w:t>
      </w:r>
      <w:r>
        <w:t xml:space="preserve"> — the ability to request bias testing, performance validation, or an independent technical review, not merely a service-level uptime guarantee? </w:t>
      </w:r>
      <w:r>
        <w:rPr>
          <w:b/>
        </w:rPr>
        <w:t>What happens if the vendor’s system is later found to have a governance-relevant flaw</w:t>
      </w:r>
      <w:r>
        <w:t xml:space="preserve"> — is there a defined remediation and, if necessary, exit path, or is the company contractually locked into continued use? </w:t>
      </w:r>
      <w:r>
        <w:rPr>
          <w:b/>
        </w:rPr>
        <w:t>Has the company ever actually exercised any of these rights</w:t>
      </w:r>
      <w:r>
        <w:t>, or do they exist only on paper? This last question is often the most revealing: a contractual audit right that has never been used is a substantially weaker governance signal than one with a documented review history.</w:t>
      </w:r>
    </w:p>
    <w:p w14:paraId="6A52D36A" w14:textId="77777777" w:rsidR="007C6AD8" w:rsidRDefault="00000000">
      <w:pPr>
        <w:pStyle w:val="Heading2"/>
      </w:pPr>
      <w:bookmarkStart w:id="93" w:name="Xcee30081f283f9391f8ec577bed55a26ae78e54"/>
      <w:r>
        <w:t>Appendix HH — Meta’s Oversight Board: An Alternative AI/Content-Governance Model</w:t>
      </w:r>
      <w:bookmarkEnd w:id="93"/>
    </w:p>
    <w:p w14:paraId="06857DBA" w14:textId="77777777" w:rsidR="007C6AD8" w:rsidRDefault="00000000">
      <w:pPr>
        <w:pStyle w:val="FirstParagraph"/>
      </w:pPr>
      <w:r>
        <w:t>Meta’s Oversight Board, established in 2020, offers a distinct governance model from every other case in this reader: an external, quasi-independent body with binding authority over specific individual content-moderation decisions (though not over Meta’s underlying algorithmic-ranking systems or advertising-targeting practices, which remain outside its mandate). The model is a useful contrast to Google/DeepMind’s short-lived ATEAC (Section 2.12): the Oversight Board has persisted for several years, in part because its narrower, binding, individual-case mandate is easier to operate consistently than ATEAC’s broad advisory mandate over the company’s entire AI and technology strategy. The lesson generalizes: an external governance body with a narrow, binding mandate may be more durable and more meaningful than a broad advisory one — a design consideration worth weighing directly against the committee-structure options in Appendix K.</w:t>
      </w:r>
    </w:p>
    <w:p w14:paraId="4A34F17B" w14:textId="77777777" w:rsidR="007C6AD8" w:rsidRDefault="00000000">
      <w:pPr>
        <w:pStyle w:val="Heading2"/>
      </w:pPr>
      <w:bookmarkStart w:id="94" w:name="extended-glossary-addendum"/>
      <w:r>
        <w:t>Extended Glossary Addendum</w:t>
      </w:r>
      <w:bookmarkEnd w:id="94"/>
    </w:p>
    <w:p w14:paraId="6C20DC44" w14:textId="77777777" w:rsidR="007C6AD8" w:rsidRDefault="00000000">
      <w:pPr>
        <w:pStyle w:val="FirstParagraph"/>
      </w:pPr>
      <w:r>
        <w:rPr>
          <w:b/>
        </w:rPr>
        <w:t>Algorithmic accountability</w:t>
      </w:r>
      <w:r>
        <w:t xml:space="preserve"> — The principle that decisions made or materially influenced by an algorithm should be explainable, contestable, and attributable to a responsible party, extending traditional accountability concepts to automated decision systems.</w:t>
      </w:r>
    </w:p>
    <w:p w14:paraId="43AEFBB6" w14:textId="77777777" w:rsidR="007C6AD8" w:rsidRDefault="00000000">
      <w:pPr>
        <w:pStyle w:val="BodyText"/>
      </w:pPr>
      <w:r>
        <w:rPr>
          <w:b/>
        </w:rPr>
        <w:t>Conformity assessment</w:t>
      </w:r>
      <w:r>
        <w:t xml:space="preserve"> — Under the EU AI Act, the formal process (self-assessed or third-party, depending on risk tier) by which a high-risk AI system’s compliance with the Act’s requirements is verified before deployment.</w:t>
      </w:r>
    </w:p>
    <w:p w14:paraId="2AFB5B3F" w14:textId="77777777" w:rsidR="007C6AD8" w:rsidRDefault="00000000">
      <w:pPr>
        <w:pStyle w:val="BodyText"/>
      </w:pPr>
      <w:r>
        <w:rPr>
          <w:b/>
        </w:rPr>
        <w:lastRenderedPageBreak/>
        <w:t>Isomorphism (institutional theory)</w:t>
      </w:r>
      <w:r>
        <w:t xml:space="preserve"> — The tendency of organizations within the same field to adopt similar structures and practices over time, whether through coercive pressure (regulation), mimetic pressure (copying successful peers), or normative pressure (professional-standard diffusion) — relevant to why ESG committee structures across large companies tend to converge over time.</w:t>
      </w:r>
    </w:p>
    <w:p w14:paraId="07E84978" w14:textId="77777777" w:rsidR="007C6AD8" w:rsidRDefault="00000000">
      <w:pPr>
        <w:pStyle w:val="BodyText"/>
      </w:pPr>
      <w:r>
        <w:rPr>
          <w:b/>
        </w:rPr>
        <w:t>Legitimacy theory</w:t>
      </w:r>
      <w:r>
        <w:t xml:space="preserve"> — The idea that firms disclose ESG information partly to maintain a “social license to operate” by demonstrating alignment with societal expectations, distinct from disclosing purely to satisfy investor information demand.</w:t>
      </w:r>
    </w:p>
    <w:p w14:paraId="7557424E" w14:textId="77777777" w:rsidR="007C6AD8" w:rsidRDefault="00000000">
      <w:pPr>
        <w:pStyle w:val="BodyText"/>
      </w:pPr>
      <w:r>
        <w:rPr>
          <w:b/>
        </w:rPr>
        <w:t>Model drift</w:t>
      </w:r>
      <w:r>
        <w:t xml:space="preserve"> — The degradation of an AI system’s performance or behavior over time as real-world conditions diverge from its training data, requiring ongoing monitoring rather than one-time validation at deployment.</w:t>
      </w:r>
    </w:p>
    <w:p w14:paraId="2F978FA4" w14:textId="77777777" w:rsidR="007C6AD8" w:rsidRDefault="00000000">
      <w:pPr>
        <w:pStyle w:val="BodyText"/>
      </w:pPr>
      <w:r>
        <w:rPr>
          <w:b/>
        </w:rPr>
        <w:t>Resource-based view (RBV)</w:t>
      </w:r>
      <w:r>
        <w:t xml:space="preserve"> — A strategy framework holding that sustained competitive advantage comes from valuable, rare, hard-to-imitate resources and capabilities; applied to ESG and AI governance, a genuinely well-embedded governance capability (not just a policy document) is harder for competitors to replicate than a public commitment alone.</w:t>
      </w:r>
    </w:p>
    <w:p w14:paraId="646E503B" w14:textId="77777777" w:rsidR="007C6AD8" w:rsidRDefault="00000000">
      <w:pPr>
        <w:pStyle w:val="Heading2"/>
      </w:pPr>
      <w:bookmarkStart w:id="95" w:name="note-on-the-reference-list"/>
      <w:r>
        <w:t>Note on the Reference List</w:t>
      </w:r>
      <w:bookmarkEnd w:id="95"/>
    </w:p>
    <w:p w14:paraId="7708D679" w14:textId="77777777" w:rsidR="007C6AD8" w:rsidRDefault="00000000">
      <w:pPr>
        <w:pStyle w:val="FirstParagraph"/>
      </w:pPr>
      <w:r>
        <w:t>The reference list below has been tightened to the sources most directly load-bearing for the claims in this reader — the foundational theory texts, the central empirical meta-analysis, the primary regulatory instruments, and the major rating-methodology sources — rather than reproducing an exhaustive academic bibliography. Students seeking additional sources on any specific case or claim should treat this list as a starting point, particularly for the Turkish company-specific claims in Part V and its appendices, which should be checked against each company’s most current published sustainability report at the time of writing.</w:t>
      </w:r>
    </w:p>
    <w:p w14:paraId="2918E781" w14:textId="77777777" w:rsidR="007C6AD8" w:rsidRDefault="00000000">
      <w:pPr>
        <w:pStyle w:val="Heading2"/>
      </w:pPr>
      <w:bookmarkStart w:id="96" w:name="X7f3022abc72b6057f2e943494c58663eaf59ef4"/>
      <w:r>
        <w:t>Appendix II — A Proposed AI-Governance Maturity Scorecard: Four Dimensions</w:t>
      </w:r>
      <w:bookmarkEnd w:id="96"/>
    </w:p>
    <w:p w14:paraId="3B7609F8" w14:textId="77777777" w:rsidR="007C6AD8" w:rsidRDefault="00000000">
      <w:pPr>
        <w:pStyle w:val="FirstParagraph"/>
      </w:pPr>
      <w:r>
        <w:t>Extending Section 3.3’s general method, a dedicated AI-governance maturity scorecard can be built around four specific dimensions, each scored 1 (informal/absent) to 5 (fully institutionalized and externally verifiable):</w:t>
      </w:r>
    </w:p>
    <w:p w14:paraId="3A693B39" w14:textId="77777777" w:rsidR="007C6AD8" w:rsidRDefault="00000000">
      <w:pPr>
        <w:pStyle w:val="BodyText"/>
      </w:pPr>
      <w:r>
        <w:rPr>
          <w:b/>
        </w:rPr>
        <w:t>Dimension one: Structural ownership.</w:t>
      </w:r>
      <w:r>
        <w:t xml:space="preserve"> Is there a named committee or executive with clear, disclosed authority over AI risk, distinct from general technology governance? A score of 5 requires a published charter (Appendix F/X); a score of 1 means AI oversight is informally absorbed into existing management functions with no distinct governance identity — the current position of all three Turkish running cases by this reader’s assessment.</w:t>
      </w:r>
    </w:p>
    <w:p w14:paraId="7211C229" w14:textId="77777777" w:rsidR="007C6AD8" w:rsidRDefault="00000000">
      <w:pPr>
        <w:pStyle w:val="BodyText"/>
      </w:pPr>
      <w:r>
        <w:rPr>
          <w:b/>
        </w:rPr>
        <w:t>Dimension two: Technical verification capability.</w:t>
      </w:r>
      <w:r>
        <w:t xml:space="preserve"> Does the company (or a contracted third party) have the actual technical capacity to test deployed AI systems for bias, robustness, and drift, or does oversight rely entirely on vendor assurances? Banking-sector model-risk-management functions (Appendix U) typically score higher here than industrial companies with less in-house technical capacity.</w:t>
      </w:r>
    </w:p>
    <w:p w14:paraId="2E529189" w14:textId="77777777" w:rsidR="007C6AD8" w:rsidRDefault="00000000">
      <w:pPr>
        <w:pStyle w:val="BodyText"/>
      </w:pPr>
      <w:r>
        <w:rPr>
          <w:b/>
        </w:rPr>
        <w:t>Dimension three: Regulatory mapping currency.</w:t>
      </w:r>
      <w:r>
        <w:t xml:space="preserve"> Is there a maintained, current map of which AI regulations (EU AI Act, U.S. state laws, sector-specific rules) apply to which specific deployed system, reviewed at least annually? This dimension is especially relevant for THY given its EU AI Act extraterritorial exposure (Section 5.3).</w:t>
      </w:r>
    </w:p>
    <w:p w14:paraId="30A60B50" w14:textId="77777777" w:rsidR="007C6AD8" w:rsidRDefault="00000000">
      <w:pPr>
        <w:pStyle w:val="BodyText"/>
      </w:pPr>
      <w:r>
        <w:rPr>
          <w:b/>
        </w:rPr>
        <w:t>Dimension four: Incident and escalation track record.</w:t>
      </w:r>
      <w:r>
        <w:t xml:space="preserve"> Has the company ever identified, disclosed, and remediated an AI-related incident (a bias finding, a vendor-system failure, a regulatory inquiry), and is there a defined escalation path for the next one? Amazon’s internally caught recruiting-tool bias (Section 2.14) is a rare example of a strong showing on this dimension — the incident was caught and the tool was never deployed, which is itself a governance success story despite the underlying model flaw.</w:t>
      </w:r>
    </w:p>
    <w:p w14:paraId="6D0CCE08" w14:textId="77777777" w:rsidR="007C6AD8" w:rsidRDefault="00000000">
      <w:pPr>
        <w:pStyle w:val="BodyText"/>
      </w:pPr>
      <w:r>
        <w:lastRenderedPageBreak/>
        <w:t>A company scoring low across all four dimensions (the current pattern for Koç, Sabancı, and THY, per Part V and Appendix FF) is not necessarily poorly governed in absolute terms — it may simply be earlier in AI-governance institutionalization than its ESG governance, which for all three companies is considerably more mature. The scorecard’s value is in making that specific gap visible and trackable year over year, rather than producing a single pass/fail judgment.</w:t>
      </w:r>
    </w:p>
    <w:p w14:paraId="1F48FE2C" w14:textId="77777777" w:rsidR="007C6AD8" w:rsidRDefault="00000000">
      <w:pPr>
        <w:pStyle w:val="Heading2"/>
      </w:pPr>
      <w:bookmarkStart w:id="97" w:name="Xe87836ebe9447e5645d3d336f06828e21daca15"/>
      <w:r>
        <w:t>Appendix JJ — Applying the Case Vignettes to a Turkish Context</w:t>
      </w:r>
      <w:bookmarkEnd w:id="97"/>
    </w:p>
    <w:p w14:paraId="4E4B9BCD" w14:textId="77777777" w:rsidR="007C6AD8" w:rsidRDefault="00000000">
      <w:pPr>
        <w:pStyle w:val="FirstParagraph"/>
      </w:pPr>
      <w:r>
        <w:t>Several of the international cases in Part II have direct structural analogues worth drawing out explicitly for a Turkish-market audience. BP’s brand-substance gap (Section 2.1) is a caution relevant to any Turkish company building a sustainability-forward public brand faster than its operational risk-management catches up. Danone’s activist-driven reversal of purpose commitments (Section 2.3) is a relevant caution for any Turkish company considering formal mission-status commitments, given Türkiye’s own more concentrated, often family-controlled ownership structures — though that same concentrated ownership can cut the other way, potentially making a genuine long-term commitment more durable against short-term activist pressure than at a widely-held Anglo-American company, precisely because family-controlled holding structures like Koç’s and Sabancı’s face less acute quarterly-activist pressure than Danone did. Amazon’s internally-caught AI hiring-tool bias (Section 2.14) is the most directly transferable case for any Turkish company beginning to deploy AI-based HR screening tools: the lesson — build the internal review capacity before deployment, not after a public complaint — applies identically regardless of jurisdiction. And THY’s own EU AI Act extraterritorial exposure (Section 5.3) is itself the clearest illustration that “this is a European regulation” is not a safe assumption for any Turkish company with material EU-market operations or EU-facing digital systems.</w:t>
      </w:r>
    </w:p>
    <w:p w14:paraId="45A4DBB1" w14:textId="77777777" w:rsidR="007C6AD8" w:rsidRDefault="00000000">
      <w:pPr>
        <w:pStyle w:val="Heading2"/>
      </w:pPr>
      <w:bookmarkStart w:id="98" w:name="X3e8cd3fd87e2135d2a1fc4d3d1e42477464d3e7"/>
      <w:r>
        <w:t>Appendix KK — A Cross-Case Comparison Table</w:t>
      </w:r>
      <w:bookmarkEnd w:id="98"/>
    </w:p>
    <w:tbl>
      <w:tblPr>
        <w:tblStyle w:val="Table"/>
        <w:tblW w:w="9360" w:type="dxa"/>
        <w:tblInd w:w="108" w:type="dxa"/>
        <w:tblLayout w:type="fixed"/>
        <w:tblLook w:val="07E0" w:firstRow="1" w:lastRow="1" w:firstColumn="1" w:lastColumn="1" w:noHBand="1" w:noVBand="1"/>
      </w:tblPr>
      <w:tblGrid>
        <w:gridCol w:w="2340"/>
        <w:gridCol w:w="2340"/>
        <w:gridCol w:w="2340"/>
        <w:gridCol w:w="2340"/>
      </w:tblGrid>
      <w:tr w:rsidR="007C6AD8" w14:paraId="2AE1B216" w14:textId="77777777">
        <w:tc>
          <w:tcPr>
            <w:tcW w:w="2340" w:type="dxa"/>
            <w:tcBorders>
              <w:bottom w:val="single" w:sz="0" w:space="0" w:color="auto"/>
            </w:tcBorders>
            <w:shd w:val="clear" w:color="auto" w:fill="1F3864"/>
            <w:vAlign w:val="bottom"/>
          </w:tcPr>
          <w:p w14:paraId="608CF56F" w14:textId="77777777" w:rsidR="007C6AD8" w:rsidRDefault="00000000">
            <w:pPr>
              <w:pStyle w:val="Compact"/>
            </w:pPr>
            <w:r>
              <w:rPr>
                <w:b/>
                <w:color w:val="FFFFFF"/>
              </w:rPr>
              <w:t>Case</w:t>
            </w:r>
          </w:p>
        </w:tc>
        <w:tc>
          <w:tcPr>
            <w:tcW w:w="2340" w:type="dxa"/>
            <w:tcBorders>
              <w:bottom w:val="single" w:sz="0" w:space="0" w:color="auto"/>
            </w:tcBorders>
            <w:shd w:val="clear" w:color="auto" w:fill="1F3864"/>
            <w:vAlign w:val="bottom"/>
          </w:tcPr>
          <w:p w14:paraId="1AB07EE4" w14:textId="77777777" w:rsidR="007C6AD8" w:rsidRDefault="00000000">
            <w:pPr>
              <w:pStyle w:val="Compact"/>
            </w:pPr>
            <w:r>
              <w:rPr>
                <w:b/>
                <w:color w:val="FFFFFF"/>
              </w:rPr>
              <w:t>Primary failure/success type</w:t>
            </w:r>
          </w:p>
        </w:tc>
        <w:tc>
          <w:tcPr>
            <w:tcW w:w="2340" w:type="dxa"/>
            <w:tcBorders>
              <w:bottom w:val="single" w:sz="0" w:space="0" w:color="auto"/>
            </w:tcBorders>
            <w:shd w:val="clear" w:color="auto" w:fill="1F3864"/>
            <w:vAlign w:val="bottom"/>
          </w:tcPr>
          <w:p w14:paraId="0000A2F6" w14:textId="77777777" w:rsidR="007C6AD8" w:rsidRDefault="00000000">
            <w:pPr>
              <w:pStyle w:val="Compact"/>
            </w:pPr>
            <w:r>
              <w:rPr>
                <w:b/>
                <w:color w:val="FFFFFF"/>
              </w:rPr>
              <w:t>Archetype (Appendix Q)</w:t>
            </w:r>
          </w:p>
        </w:tc>
        <w:tc>
          <w:tcPr>
            <w:tcW w:w="2340" w:type="dxa"/>
            <w:tcBorders>
              <w:bottom w:val="single" w:sz="0" w:space="0" w:color="auto"/>
            </w:tcBorders>
            <w:shd w:val="clear" w:color="auto" w:fill="1F3864"/>
            <w:vAlign w:val="bottom"/>
          </w:tcPr>
          <w:p w14:paraId="33785856" w14:textId="77777777" w:rsidR="007C6AD8" w:rsidRDefault="00000000">
            <w:pPr>
              <w:pStyle w:val="Compact"/>
            </w:pPr>
            <w:r>
              <w:rPr>
                <w:b/>
                <w:color w:val="FFFFFF"/>
              </w:rPr>
              <w:t>Approximate scale of consequence</w:t>
            </w:r>
          </w:p>
        </w:tc>
      </w:tr>
      <w:tr w:rsidR="007C6AD8" w14:paraId="2E325D29" w14:textId="77777777">
        <w:tc>
          <w:tcPr>
            <w:tcW w:w="2340" w:type="dxa"/>
          </w:tcPr>
          <w:p w14:paraId="2F79CB43" w14:textId="77777777" w:rsidR="007C6AD8" w:rsidRDefault="00000000">
            <w:pPr>
              <w:pStyle w:val="Compact"/>
            </w:pPr>
            <w:r>
              <w:t>BP Deepwater Horizon</w:t>
            </w:r>
          </w:p>
        </w:tc>
        <w:tc>
          <w:tcPr>
            <w:tcW w:w="2340" w:type="dxa"/>
          </w:tcPr>
          <w:p w14:paraId="6E7797F0" w14:textId="77777777" w:rsidR="007C6AD8" w:rsidRDefault="00000000">
            <w:pPr>
              <w:pStyle w:val="Compact"/>
            </w:pPr>
            <w:r>
              <w:t>Operational risk oversight failure</w:t>
            </w:r>
          </w:p>
        </w:tc>
        <w:tc>
          <w:tcPr>
            <w:tcW w:w="2340" w:type="dxa"/>
          </w:tcPr>
          <w:p w14:paraId="7D0CC0C7" w14:textId="77777777" w:rsidR="007C6AD8" w:rsidRDefault="00000000">
            <w:pPr>
              <w:pStyle w:val="Compact"/>
            </w:pPr>
            <w:r>
              <w:t>One</w:t>
            </w:r>
          </w:p>
        </w:tc>
        <w:tc>
          <w:tcPr>
            <w:tcW w:w="2340" w:type="dxa"/>
          </w:tcPr>
          <w:p w14:paraId="6D4C9664" w14:textId="77777777" w:rsidR="007C6AD8" w:rsidRDefault="00000000">
            <w:pPr>
              <w:pStyle w:val="Compact"/>
            </w:pPr>
            <w:r>
              <w:t>~$65B cumulative cost</w:t>
            </w:r>
          </w:p>
        </w:tc>
      </w:tr>
      <w:tr w:rsidR="007C6AD8" w14:paraId="2E8DA8F5" w14:textId="77777777">
        <w:tc>
          <w:tcPr>
            <w:tcW w:w="2340" w:type="dxa"/>
          </w:tcPr>
          <w:p w14:paraId="5D2CB7D9" w14:textId="77777777" w:rsidR="007C6AD8" w:rsidRDefault="00000000">
            <w:pPr>
              <w:pStyle w:val="Compact"/>
            </w:pPr>
            <w:r>
              <w:t>Volkswagen Dieselgate</w:t>
            </w:r>
          </w:p>
        </w:tc>
        <w:tc>
          <w:tcPr>
            <w:tcW w:w="2340" w:type="dxa"/>
          </w:tcPr>
          <w:p w14:paraId="1795E463" w14:textId="77777777" w:rsidR="007C6AD8" w:rsidRDefault="00000000">
            <w:pPr>
              <w:pStyle w:val="Compact"/>
            </w:pPr>
            <w:r>
              <w:t>Compliance fraud / board oversight failure</w:t>
            </w:r>
          </w:p>
        </w:tc>
        <w:tc>
          <w:tcPr>
            <w:tcW w:w="2340" w:type="dxa"/>
          </w:tcPr>
          <w:p w14:paraId="6C677AA9" w14:textId="77777777" w:rsidR="007C6AD8" w:rsidRDefault="00000000">
            <w:pPr>
              <w:pStyle w:val="Compact"/>
            </w:pPr>
            <w:r>
              <w:t>Five</w:t>
            </w:r>
          </w:p>
        </w:tc>
        <w:tc>
          <w:tcPr>
            <w:tcW w:w="2340" w:type="dxa"/>
          </w:tcPr>
          <w:p w14:paraId="58D99749" w14:textId="77777777" w:rsidR="007C6AD8" w:rsidRDefault="00000000">
            <w:pPr>
              <w:pStyle w:val="Compact"/>
            </w:pPr>
            <w:r>
              <w:t>~$33B cumulative cost</w:t>
            </w:r>
          </w:p>
        </w:tc>
      </w:tr>
      <w:tr w:rsidR="007C6AD8" w14:paraId="4FA226AF" w14:textId="77777777">
        <w:tc>
          <w:tcPr>
            <w:tcW w:w="2340" w:type="dxa"/>
          </w:tcPr>
          <w:p w14:paraId="0B9785E4" w14:textId="77777777" w:rsidR="007C6AD8" w:rsidRDefault="00000000">
            <w:pPr>
              <w:pStyle w:val="Compact"/>
            </w:pPr>
            <w:r>
              <w:t>Danone (Faber ouster)</w:t>
            </w:r>
          </w:p>
        </w:tc>
        <w:tc>
          <w:tcPr>
            <w:tcW w:w="2340" w:type="dxa"/>
          </w:tcPr>
          <w:p w14:paraId="4EF828DC" w14:textId="77777777" w:rsidR="007C6AD8" w:rsidRDefault="00000000">
            <w:pPr>
              <w:pStyle w:val="Compact"/>
            </w:pPr>
            <w:r>
              <w:t>Purpose-vs-performance governance reversal</w:t>
            </w:r>
          </w:p>
        </w:tc>
        <w:tc>
          <w:tcPr>
            <w:tcW w:w="2340" w:type="dxa"/>
          </w:tcPr>
          <w:p w14:paraId="21446022" w14:textId="77777777" w:rsidR="007C6AD8" w:rsidRDefault="00000000">
            <w:pPr>
              <w:pStyle w:val="Compact"/>
            </w:pPr>
            <w:r>
              <w:t>Two</w:t>
            </w:r>
          </w:p>
        </w:tc>
        <w:tc>
          <w:tcPr>
            <w:tcW w:w="2340" w:type="dxa"/>
          </w:tcPr>
          <w:p w14:paraId="5728B485" w14:textId="77777777" w:rsidR="007C6AD8" w:rsidRDefault="00000000">
            <w:pPr>
              <w:pStyle w:val="Compact"/>
            </w:pPr>
            <w:r>
              <w:t>CEO/chair removed</w:t>
            </w:r>
          </w:p>
        </w:tc>
      </w:tr>
      <w:tr w:rsidR="007C6AD8" w14:paraId="34F32204" w14:textId="77777777">
        <w:tc>
          <w:tcPr>
            <w:tcW w:w="2340" w:type="dxa"/>
          </w:tcPr>
          <w:p w14:paraId="1AB2F5A5" w14:textId="77777777" w:rsidR="007C6AD8" w:rsidRDefault="00000000">
            <w:pPr>
              <w:pStyle w:val="Compact"/>
            </w:pPr>
            <w:r>
              <w:t>Unilever Sustainable Living Plan</w:t>
            </w:r>
          </w:p>
        </w:tc>
        <w:tc>
          <w:tcPr>
            <w:tcW w:w="2340" w:type="dxa"/>
          </w:tcPr>
          <w:p w14:paraId="5E868E43" w14:textId="77777777" w:rsidR="007C6AD8" w:rsidRDefault="00000000">
            <w:pPr>
              <w:pStyle w:val="Compact"/>
            </w:pPr>
            <w:r>
              <w:t>Ambitious target under-delivery</w:t>
            </w:r>
          </w:p>
        </w:tc>
        <w:tc>
          <w:tcPr>
            <w:tcW w:w="2340" w:type="dxa"/>
          </w:tcPr>
          <w:p w14:paraId="6B0C7994" w14:textId="77777777" w:rsidR="007C6AD8" w:rsidRDefault="00000000">
            <w:pPr>
              <w:pStyle w:val="Compact"/>
            </w:pPr>
            <w:r>
              <w:t>Two (mild)</w:t>
            </w:r>
          </w:p>
        </w:tc>
        <w:tc>
          <w:tcPr>
            <w:tcW w:w="2340" w:type="dxa"/>
          </w:tcPr>
          <w:p w14:paraId="58A1096B" w14:textId="77777777" w:rsidR="007C6AD8" w:rsidRDefault="00000000">
            <w:pPr>
              <w:pStyle w:val="Compact"/>
            </w:pPr>
            <w:r>
              <w:t>Targets missed, activist pressure</w:t>
            </w:r>
          </w:p>
        </w:tc>
      </w:tr>
      <w:tr w:rsidR="007C6AD8" w14:paraId="173FED80" w14:textId="77777777">
        <w:tc>
          <w:tcPr>
            <w:tcW w:w="2340" w:type="dxa"/>
          </w:tcPr>
          <w:p w14:paraId="6E6CCC9E" w14:textId="77777777" w:rsidR="007C6AD8" w:rsidRDefault="00000000">
            <w:pPr>
              <w:pStyle w:val="Compact"/>
            </w:pPr>
            <w:r>
              <w:t>Tesla S&amp;P ESG Index removal</w:t>
            </w:r>
          </w:p>
        </w:tc>
        <w:tc>
          <w:tcPr>
            <w:tcW w:w="2340" w:type="dxa"/>
          </w:tcPr>
          <w:p w14:paraId="5EF2A915" w14:textId="77777777" w:rsidR="007C6AD8" w:rsidRDefault="00000000">
            <w:pPr>
              <w:pStyle w:val="Compact"/>
            </w:pPr>
            <w:r>
              <w:t>Ratings-methodology mismatch</w:t>
            </w:r>
          </w:p>
        </w:tc>
        <w:tc>
          <w:tcPr>
            <w:tcW w:w="2340" w:type="dxa"/>
          </w:tcPr>
          <w:p w14:paraId="1E4D62D2" w14:textId="77777777" w:rsidR="007C6AD8" w:rsidRDefault="00000000">
            <w:pPr>
              <w:pStyle w:val="Compact"/>
            </w:pPr>
            <w:r>
              <w:t>Three</w:t>
            </w:r>
          </w:p>
        </w:tc>
        <w:tc>
          <w:tcPr>
            <w:tcW w:w="2340" w:type="dxa"/>
          </w:tcPr>
          <w:p w14:paraId="19D4E41D" w14:textId="77777777" w:rsidR="007C6AD8" w:rsidRDefault="00000000">
            <w:pPr>
              <w:pStyle w:val="Compact"/>
            </w:pPr>
            <w:r>
              <w:t>Index exclusion, no operational change</w:t>
            </w:r>
          </w:p>
        </w:tc>
      </w:tr>
      <w:tr w:rsidR="007C6AD8" w14:paraId="38F196F1" w14:textId="77777777">
        <w:tc>
          <w:tcPr>
            <w:tcW w:w="2340" w:type="dxa"/>
          </w:tcPr>
          <w:p w14:paraId="0A870D7D" w14:textId="77777777" w:rsidR="007C6AD8" w:rsidRDefault="00000000">
            <w:pPr>
              <w:pStyle w:val="Compact"/>
            </w:pPr>
            <w:r>
              <w:t>Microsoft Office of Responsible AI</w:t>
            </w:r>
          </w:p>
        </w:tc>
        <w:tc>
          <w:tcPr>
            <w:tcW w:w="2340" w:type="dxa"/>
          </w:tcPr>
          <w:p w14:paraId="7A1D1A8C" w14:textId="77777777" w:rsidR="007C6AD8" w:rsidRDefault="00000000">
            <w:pPr>
              <w:pStyle w:val="Compact"/>
            </w:pPr>
            <w:r>
              <w:t>Proactive governance success</w:t>
            </w:r>
          </w:p>
        </w:tc>
        <w:tc>
          <w:tcPr>
            <w:tcW w:w="2340" w:type="dxa"/>
          </w:tcPr>
          <w:p w14:paraId="49905828" w14:textId="77777777" w:rsidR="007C6AD8" w:rsidRDefault="00000000">
            <w:pPr>
              <w:pStyle w:val="Compact"/>
            </w:pPr>
            <w:r>
              <w:t>— (positive case)</w:t>
            </w:r>
          </w:p>
        </w:tc>
        <w:tc>
          <w:tcPr>
            <w:tcW w:w="2340" w:type="dxa"/>
          </w:tcPr>
          <w:p w14:paraId="4192D491" w14:textId="77777777" w:rsidR="007C6AD8" w:rsidRDefault="00000000">
            <w:pPr>
              <w:pStyle w:val="Compact"/>
            </w:pPr>
            <w:r>
              <w:t>Sustained internal function since ~2017</w:t>
            </w:r>
          </w:p>
        </w:tc>
      </w:tr>
      <w:tr w:rsidR="007C6AD8" w14:paraId="3E5B9A2C" w14:textId="77777777">
        <w:tc>
          <w:tcPr>
            <w:tcW w:w="2340" w:type="dxa"/>
          </w:tcPr>
          <w:p w14:paraId="27387458" w14:textId="77777777" w:rsidR="007C6AD8" w:rsidRDefault="00000000">
            <w:pPr>
              <w:pStyle w:val="Compact"/>
            </w:pPr>
            <w:r>
              <w:t>OpenAI November 2023 crisis</w:t>
            </w:r>
          </w:p>
        </w:tc>
        <w:tc>
          <w:tcPr>
            <w:tcW w:w="2340" w:type="dxa"/>
          </w:tcPr>
          <w:p w14:paraId="3BD410D0" w14:textId="77777777" w:rsidR="007C6AD8" w:rsidRDefault="00000000">
            <w:pPr>
              <w:pStyle w:val="Compact"/>
            </w:pPr>
            <w:r>
              <w:t>Governance structure untested under pressure</w:t>
            </w:r>
          </w:p>
        </w:tc>
        <w:tc>
          <w:tcPr>
            <w:tcW w:w="2340" w:type="dxa"/>
          </w:tcPr>
          <w:p w14:paraId="5195C1EB" w14:textId="77777777" w:rsidR="007C6AD8" w:rsidRDefault="00000000">
            <w:pPr>
              <w:pStyle w:val="Compact"/>
            </w:pPr>
            <w:r>
              <w:t>Four</w:t>
            </w:r>
          </w:p>
        </w:tc>
        <w:tc>
          <w:tcPr>
            <w:tcW w:w="2340" w:type="dxa"/>
          </w:tcPr>
          <w:p w14:paraId="793D43B6" w14:textId="77777777" w:rsidR="007C6AD8" w:rsidRDefault="00000000">
            <w:pPr>
              <w:pStyle w:val="Compact"/>
            </w:pPr>
            <w:r>
              <w:t>CEO removed and reinstated within 5 days</w:t>
            </w:r>
          </w:p>
        </w:tc>
      </w:tr>
      <w:tr w:rsidR="007C6AD8" w14:paraId="454AAF38" w14:textId="77777777">
        <w:tc>
          <w:tcPr>
            <w:tcW w:w="2340" w:type="dxa"/>
          </w:tcPr>
          <w:p w14:paraId="5B3669F7" w14:textId="77777777" w:rsidR="007C6AD8" w:rsidRDefault="00000000">
            <w:pPr>
              <w:pStyle w:val="Compact"/>
            </w:pPr>
            <w:r>
              <w:t>Patagonia ownership transfer</w:t>
            </w:r>
          </w:p>
        </w:tc>
        <w:tc>
          <w:tcPr>
            <w:tcW w:w="2340" w:type="dxa"/>
          </w:tcPr>
          <w:p w14:paraId="518C1CB8" w14:textId="77777777" w:rsidR="007C6AD8" w:rsidRDefault="00000000">
            <w:pPr>
              <w:pStyle w:val="Compact"/>
            </w:pPr>
            <w:r>
              <w:t>Structural solution to purpose durability</w:t>
            </w:r>
          </w:p>
        </w:tc>
        <w:tc>
          <w:tcPr>
            <w:tcW w:w="2340" w:type="dxa"/>
          </w:tcPr>
          <w:p w14:paraId="07369F94" w14:textId="77777777" w:rsidR="007C6AD8" w:rsidRDefault="00000000">
            <w:pPr>
              <w:pStyle w:val="Compact"/>
            </w:pPr>
            <w:r>
              <w:t>— (positive case)</w:t>
            </w:r>
          </w:p>
        </w:tc>
        <w:tc>
          <w:tcPr>
            <w:tcW w:w="2340" w:type="dxa"/>
          </w:tcPr>
          <w:p w14:paraId="5594B759" w14:textId="77777777" w:rsidR="007C6AD8" w:rsidRDefault="00000000">
            <w:pPr>
              <w:pStyle w:val="Compact"/>
            </w:pPr>
            <w:r>
              <w:t>~$100M/year to environmental causes</w:t>
            </w:r>
          </w:p>
        </w:tc>
      </w:tr>
      <w:tr w:rsidR="007C6AD8" w14:paraId="22AAD9B0" w14:textId="77777777">
        <w:tc>
          <w:tcPr>
            <w:tcW w:w="2340" w:type="dxa"/>
          </w:tcPr>
          <w:p w14:paraId="5D30C1AC" w14:textId="77777777" w:rsidR="007C6AD8" w:rsidRDefault="00000000">
            <w:pPr>
              <w:pStyle w:val="Compact"/>
            </w:pPr>
            <w:r>
              <w:lastRenderedPageBreak/>
              <w:t>Google/DeepMind ATEAC</w:t>
            </w:r>
          </w:p>
        </w:tc>
        <w:tc>
          <w:tcPr>
            <w:tcW w:w="2340" w:type="dxa"/>
          </w:tcPr>
          <w:p w14:paraId="3282C485" w14:textId="77777777" w:rsidR="007C6AD8" w:rsidRDefault="00000000">
            <w:pPr>
              <w:pStyle w:val="Compact"/>
            </w:pPr>
            <w:r>
              <w:t>External board without groundwork</w:t>
            </w:r>
          </w:p>
        </w:tc>
        <w:tc>
          <w:tcPr>
            <w:tcW w:w="2340" w:type="dxa"/>
          </w:tcPr>
          <w:p w14:paraId="5DB9DE68" w14:textId="77777777" w:rsidR="007C6AD8" w:rsidRDefault="00000000">
            <w:pPr>
              <w:pStyle w:val="Compact"/>
            </w:pPr>
            <w:r>
              <w:t>Four</w:t>
            </w:r>
          </w:p>
        </w:tc>
        <w:tc>
          <w:tcPr>
            <w:tcW w:w="2340" w:type="dxa"/>
          </w:tcPr>
          <w:p w14:paraId="3E962F8C" w14:textId="77777777" w:rsidR="007C6AD8" w:rsidRDefault="00000000">
            <w:pPr>
              <w:pStyle w:val="Compact"/>
            </w:pPr>
            <w:r>
              <w:t>Dissolved within ~1 week</w:t>
            </w:r>
          </w:p>
        </w:tc>
      </w:tr>
      <w:tr w:rsidR="007C6AD8" w14:paraId="03B30A38" w14:textId="77777777">
        <w:tc>
          <w:tcPr>
            <w:tcW w:w="2340" w:type="dxa"/>
          </w:tcPr>
          <w:p w14:paraId="0F6E07E3" w14:textId="77777777" w:rsidR="007C6AD8" w:rsidRDefault="00000000">
            <w:pPr>
              <w:pStyle w:val="Compact"/>
            </w:pPr>
            <w:r>
              <w:t>Amazon AI recruiting tool</w:t>
            </w:r>
          </w:p>
        </w:tc>
        <w:tc>
          <w:tcPr>
            <w:tcW w:w="2340" w:type="dxa"/>
          </w:tcPr>
          <w:p w14:paraId="0B3145DE" w14:textId="77777777" w:rsidR="007C6AD8" w:rsidRDefault="00000000">
            <w:pPr>
              <w:pStyle w:val="Compact"/>
            </w:pPr>
            <w:r>
              <w:t>Internally caught bias, near-miss success</w:t>
            </w:r>
          </w:p>
        </w:tc>
        <w:tc>
          <w:tcPr>
            <w:tcW w:w="2340" w:type="dxa"/>
          </w:tcPr>
          <w:p w14:paraId="7C52042D" w14:textId="77777777" w:rsidR="007C6AD8" w:rsidRDefault="00000000">
            <w:pPr>
              <w:pStyle w:val="Compact"/>
            </w:pPr>
            <w:r>
              <w:t>Four (mitigated)</w:t>
            </w:r>
          </w:p>
        </w:tc>
        <w:tc>
          <w:tcPr>
            <w:tcW w:w="2340" w:type="dxa"/>
          </w:tcPr>
          <w:p w14:paraId="71772AD4" w14:textId="77777777" w:rsidR="007C6AD8" w:rsidRDefault="00000000">
            <w:pPr>
              <w:pStyle w:val="Compact"/>
            </w:pPr>
            <w:r>
              <w:t>Tool scrapped pre-deployment</w:t>
            </w:r>
          </w:p>
        </w:tc>
      </w:tr>
      <w:tr w:rsidR="007C6AD8" w14:paraId="3A120F7A" w14:textId="77777777">
        <w:tc>
          <w:tcPr>
            <w:tcW w:w="2340" w:type="dxa"/>
          </w:tcPr>
          <w:p w14:paraId="069BBBEC" w14:textId="77777777" w:rsidR="007C6AD8" w:rsidRDefault="00000000">
            <w:pPr>
              <w:pStyle w:val="Compact"/>
            </w:pPr>
            <w:r>
              <w:t>Wells Fargo fake accounts</w:t>
            </w:r>
          </w:p>
        </w:tc>
        <w:tc>
          <w:tcPr>
            <w:tcW w:w="2340" w:type="dxa"/>
          </w:tcPr>
          <w:p w14:paraId="1F84FB58" w14:textId="77777777" w:rsidR="007C6AD8" w:rsidRDefault="00000000">
            <w:pPr>
              <w:pStyle w:val="Compact"/>
            </w:pPr>
            <w:r>
              <w:t>Incentive-design/algorithmic-adjacent failure</w:t>
            </w:r>
          </w:p>
        </w:tc>
        <w:tc>
          <w:tcPr>
            <w:tcW w:w="2340" w:type="dxa"/>
          </w:tcPr>
          <w:p w14:paraId="4BAB11B2" w14:textId="77777777" w:rsidR="007C6AD8" w:rsidRDefault="00000000">
            <w:pPr>
              <w:pStyle w:val="Compact"/>
            </w:pPr>
            <w:r>
              <w:t>Five</w:t>
            </w:r>
          </w:p>
        </w:tc>
        <w:tc>
          <w:tcPr>
            <w:tcW w:w="2340" w:type="dxa"/>
          </w:tcPr>
          <w:p w14:paraId="7CD2B260" w14:textId="77777777" w:rsidR="007C6AD8" w:rsidRDefault="00000000">
            <w:pPr>
              <w:pStyle w:val="Compact"/>
            </w:pPr>
            <w:r>
              <w:t>~$3B+ federal settlement</w:t>
            </w:r>
          </w:p>
        </w:tc>
      </w:tr>
      <w:tr w:rsidR="007C6AD8" w14:paraId="6CADF4E5" w14:textId="77777777">
        <w:tc>
          <w:tcPr>
            <w:tcW w:w="2340" w:type="dxa"/>
          </w:tcPr>
          <w:p w14:paraId="61E885DF" w14:textId="77777777" w:rsidR="007C6AD8" w:rsidRDefault="00000000">
            <w:pPr>
              <w:pStyle w:val="Compact"/>
            </w:pPr>
            <w:r>
              <w:t>Boeing 737 MAX</w:t>
            </w:r>
          </w:p>
        </w:tc>
        <w:tc>
          <w:tcPr>
            <w:tcW w:w="2340" w:type="dxa"/>
          </w:tcPr>
          <w:p w14:paraId="3064B1F3" w14:textId="77777777" w:rsidR="007C6AD8" w:rsidRDefault="00000000">
            <w:pPr>
              <w:pStyle w:val="Compact"/>
            </w:pPr>
            <w:r>
              <w:t>Safety-critical software governance failure</w:t>
            </w:r>
          </w:p>
        </w:tc>
        <w:tc>
          <w:tcPr>
            <w:tcW w:w="2340" w:type="dxa"/>
          </w:tcPr>
          <w:p w14:paraId="220B8D5F" w14:textId="77777777" w:rsidR="007C6AD8" w:rsidRDefault="00000000">
            <w:pPr>
              <w:pStyle w:val="Compact"/>
            </w:pPr>
            <w:r>
              <w:t>Five</w:t>
            </w:r>
          </w:p>
        </w:tc>
        <w:tc>
          <w:tcPr>
            <w:tcW w:w="2340" w:type="dxa"/>
          </w:tcPr>
          <w:p w14:paraId="303B440A" w14:textId="77777777" w:rsidR="007C6AD8" w:rsidRDefault="00000000">
            <w:pPr>
              <w:pStyle w:val="Compact"/>
            </w:pPr>
            <w:r>
              <w:t>~$20B cumulative cost, 346 deaths</w:t>
            </w:r>
          </w:p>
        </w:tc>
      </w:tr>
      <w:tr w:rsidR="007C6AD8" w14:paraId="71343130" w14:textId="77777777">
        <w:tc>
          <w:tcPr>
            <w:tcW w:w="2340" w:type="dxa"/>
          </w:tcPr>
          <w:p w14:paraId="6898D70C" w14:textId="77777777" w:rsidR="007C6AD8" w:rsidRDefault="00000000">
            <w:pPr>
              <w:pStyle w:val="Compact"/>
            </w:pPr>
            <w:r>
              <w:t>DWS/Deutsche Bank</w:t>
            </w:r>
          </w:p>
        </w:tc>
        <w:tc>
          <w:tcPr>
            <w:tcW w:w="2340" w:type="dxa"/>
          </w:tcPr>
          <w:p w14:paraId="4A7EC9E4" w14:textId="77777777" w:rsidR="007C6AD8" w:rsidRDefault="00000000">
            <w:pPr>
              <w:pStyle w:val="Compact"/>
            </w:pPr>
            <w:r>
              <w:t>ESG-product disclosure-integrity failure</w:t>
            </w:r>
          </w:p>
        </w:tc>
        <w:tc>
          <w:tcPr>
            <w:tcW w:w="2340" w:type="dxa"/>
          </w:tcPr>
          <w:p w14:paraId="7D140432" w14:textId="77777777" w:rsidR="007C6AD8" w:rsidRDefault="00000000">
            <w:pPr>
              <w:pStyle w:val="Compact"/>
            </w:pPr>
            <w:r>
              <w:t>Three (product-level)</w:t>
            </w:r>
          </w:p>
        </w:tc>
        <w:tc>
          <w:tcPr>
            <w:tcW w:w="2340" w:type="dxa"/>
          </w:tcPr>
          <w:p w14:paraId="03F1E03D" w14:textId="77777777" w:rsidR="007C6AD8" w:rsidRDefault="00000000">
            <w:pPr>
              <w:pStyle w:val="Compact"/>
            </w:pPr>
            <w:r>
              <w:t>~€25M+ settlements</w:t>
            </w:r>
          </w:p>
        </w:tc>
      </w:tr>
      <w:tr w:rsidR="007C6AD8" w14:paraId="5347FAB7" w14:textId="77777777">
        <w:tc>
          <w:tcPr>
            <w:tcW w:w="2340" w:type="dxa"/>
          </w:tcPr>
          <w:p w14:paraId="7A500501" w14:textId="77777777" w:rsidR="007C6AD8" w:rsidRDefault="00000000">
            <w:pPr>
              <w:pStyle w:val="Compact"/>
            </w:pPr>
            <w:r>
              <w:t>Boohoo Leicester</w:t>
            </w:r>
          </w:p>
        </w:tc>
        <w:tc>
          <w:tcPr>
            <w:tcW w:w="2340" w:type="dxa"/>
          </w:tcPr>
          <w:p w14:paraId="6ADD0041" w14:textId="77777777" w:rsidR="007C6AD8" w:rsidRDefault="00000000">
            <w:pPr>
              <w:pStyle w:val="Compact"/>
            </w:pPr>
            <w:r>
              <w:t>Supply-chain verification failure</w:t>
            </w:r>
          </w:p>
        </w:tc>
        <w:tc>
          <w:tcPr>
            <w:tcW w:w="2340" w:type="dxa"/>
          </w:tcPr>
          <w:p w14:paraId="3B5FB86C" w14:textId="77777777" w:rsidR="007C6AD8" w:rsidRDefault="00000000">
            <w:pPr>
              <w:pStyle w:val="Compact"/>
            </w:pPr>
            <w:r>
              <w:t>One</w:t>
            </w:r>
          </w:p>
        </w:tc>
        <w:tc>
          <w:tcPr>
            <w:tcW w:w="2340" w:type="dxa"/>
          </w:tcPr>
          <w:p w14:paraId="6232D5FB" w14:textId="77777777" w:rsidR="007C6AD8" w:rsidRDefault="00000000">
            <w:pPr>
              <w:pStyle w:val="Compact"/>
            </w:pPr>
            <w:r>
              <w:t>Board overhaul, platform exclusions</w:t>
            </w:r>
          </w:p>
        </w:tc>
      </w:tr>
    </w:tbl>
    <w:p w14:paraId="0B6A13FA" w14:textId="77777777" w:rsidR="007C6AD8" w:rsidRDefault="00000000">
      <w:pPr>
        <w:pStyle w:val="BodyText"/>
      </w:pPr>
      <w:r>
        <w:rPr>
          <w:b/>
        </w:rPr>
        <w:t>What the comparison reveals.</w:t>
      </w:r>
      <w:r>
        <w:t xml:space="preserve"> Reading down the “approximate scale of consequence” column against the archetype column, the highest-cost cases (BP, VW, Boeing) cluster in Archetypes One and Five — brand-substance gaps and regulatory-regime failures that were allowed to compound over years before becoming public — while the AI-specific governance cases (Amazon, Google/DeepMind, OpenAI) cluster in Archetype Four and show a much wider range of outcomes, from a genuine near-miss success (Amazon) to organizational chaos (OpenAI) to fast reputational damage with limited lasting operational consequence (Google/DeepMind). This is consistent with AI governance being a newer, less institutionally mature discipline than the environmental and safety-compliance oversight that BP, VW, and Boeing’s failures relate to — exactly the maturity gap this reader has identified for Koç, Sabancı, and THY in the applied comparison in Part V, and a reason for boards to treat AI-governance institutionalization as time-sensitive rather than a lower priority than established ESG oversight.</w:t>
      </w:r>
    </w:p>
    <w:p w14:paraId="7F8D1AF5" w14:textId="77777777" w:rsidR="007C6AD8" w:rsidRDefault="00000000">
      <w:pPr>
        <w:pStyle w:val="Heading2"/>
      </w:pPr>
      <w:bookmarkStart w:id="99" w:name="Xbe0eb63f511ec8b0d9993931f6506b49d44fb7f"/>
      <w:r>
        <w:t>Appendix LL — A Summary Table of Framework Acronyms Used in This Reader</w:t>
      </w:r>
      <w:bookmarkEnd w:id="99"/>
    </w:p>
    <w:tbl>
      <w:tblPr>
        <w:tblStyle w:val="Table"/>
        <w:tblW w:w="9360" w:type="dxa"/>
        <w:tblInd w:w="108" w:type="dxa"/>
        <w:tblLayout w:type="fixed"/>
        <w:tblLook w:val="07E0" w:firstRow="1" w:lastRow="1" w:firstColumn="1" w:lastColumn="1" w:noHBand="1" w:noVBand="1"/>
      </w:tblPr>
      <w:tblGrid>
        <w:gridCol w:w="3120"/>
        <w:gridCol w:w="3120"/>
        <w:gridCol w:w="3120"/>
      </w:tblGrid>
      <w:tr w:rsidR="007C6AD8" w14:paraId="3947F23D" w14:textId="77777777">
        <w:tc>
          <w:tcPr>
            <w:tcW w:w="3120" w:type="dxa"/>
            <w:tcBorders>
              <w:bottom w:val="single" w:sz="0" w:space="0" w:color="auto"/>
            </w:tcBorders>
            <w:shd w:val="clear" w:color="auto" w:fill="1F3864"/>
            <w:vAlign w:val="bottom"/>
          </w:tcPr>
          <w:p w14:paraId="63503199" w14:textId="77777777" w:rsidR="007C6AD8" w:rsidRDefault="00000000">
            <w:pPr>
              <w:pStyle w:val="Compact"/>
            </w:pPr>
            <w:r>
              <w:rPr>
                <w:b/>
                <w:color w:val="FFFFFF"/>
              </w:rPr>
              <w:t>Acronym</w:t>
            </w:r>
          </w:p>
        </w:tc>
        <w:tc>
          <w:tcPr>
            <w:tcW w:w="3120" w:type="dxa"/>
            <w:tcBorders>
              <w:bottom w:val="single" w:sz="0" w:space="0" w:color="auto"/>
            </w:tcBorders>
            <w:shd w:val="clear" w:color="auto" w:fill="1F3864"/>
            <w:vAlign w:val="bottom"/>
          </w:tcPr>
          <w:p w14:paraId="168B9985" w14:textId="77777777" w:rsidR="007C6AD8" w:rsidRDefault="00000000">
            <w:pPr>
              <w:pStyle w:val="Compact"/>
            </w:pPr>
            <w:r>
              <w:rPr>
                <w:b/>
                <w:color w:val="FFFFFF"/>
              </w:rPr>
              <w:t>Full name</w:t>
            </w:r>
          </w:p>
        </w:tc>
        <w:tc>
          <w:tcPr>
            <w:tcW w:w="3120" w:type="dxa"/>
            <w:tcBorders>
              <w:bottom w:val="single" w:sz="0" w:space="0" w:color="auto"/>
            </w:tcBorders>
            <w:shd w:val="clear" w:color="auto" w:fill="1F3864"/>
            <w:vAlign w:val="bottom"/>
          </w:tcPr>
          <w:p w14:paraId="048D3C1E" w14:textId="77777777" w:rsidR="007C6AD8" w:rsidRDefault="00000000">
            <w:pPr>
              <w:pStyle w:val="Compact"/>
            </w:pPr>
            <w:r>
              <w:rPr>
                <w:b/>
                <w:color w:val="FFFFFF"/>
              </w:rPr>
              <w:t>Category</w:t>
            </w:r>
          </w:p>
        </w:tc>
      </w:tr>
      <w:tr w:rsidR="007C6AD8" w14:paraId="25AB514C" w14:textId="77777777">
        <w:tc>
          <w:tcPr>
            <w:tcW w:w="3120" w:type="dxa"/>
          </w:tcPr>
          <w:p w14:paraId="1824CF80" w14:textId="77777777" w:rsidR="007C6AD8" w:rsidRDefault="00000000">
            <w:pPr>
              <w:pStyle w:val="Compact"/>
            </w:pPr>
            <w:r>
              <w:t>GRI</w:t>
            </w:r>
          </w:p>
        </w:tc>
        <w:tc>
          <w:tcPr>
            <w:tcW w:w="3120" w:type="dxa"/>
          </w:tcPr>
          <w:p w14:paraId="573923F6" w14:textId="77777777" w:rsidR="007C6AD8" w:rsidRDefault="00000000">
            <w:pPr>
              <w:pStyle w:val="Compact"/>
            </w:pPr>
            <w:r>
              <w:t>Global Reporting Initiative</w:t>
            </w:r>
          </w:p>
        </w:tc>
        <w:tc>
          <w:tcPr>
            <w:tcW w:w="3120" w:type="dxa"/>
          </w:tcPr>
          <w:p w14:paraId="462572A0" w14:textId="77777777" w:rsidR="007C6AD8" w:rsidRDefault="00000000">
            <w:pPr>
              <w:pStyle w:val="Compact"/>
            </w:pPr>
            <w:r>
              <w:t>Disclosure standard</w:t>
            </w:r>
          </w:p>
        </w:tc>
      </w:tr>
      <w:tr w:rsidR="007C6AD8" w14:paraId="5789538D" w14:textId="77777777">
        <w:tc>
          <w:tcPr>
            <w:tcW w:w="3120" w:type="dxa"/>
          </w:tcPr>
          <w:p w14:paraId="385A9D09" w14:textId="77777777" w:rsidR="007C6AD8" w:rsidRDefault="00000000">
            <w:pPr>
              <w:pStyle w:val="Compact"/>
            </w:pPr>
            <w:r>
              <w:t>SASB</w:t>
            </w:r>
          </w:p>
        </w:tc>
        <w:tc>
          <w:tcPr>
            <w:tcW w:w="3120" w:type="dxa"/>
          </w:tcPr>
          <w:p w14:paraId="0747469A" w14:textId="77777777" w:rsidR="007C6AD8" w:rsidRDefault="00000000">
            <w:pPr>
              <w:pStyle w:val="Compact"/>
            </w:pPr>
            <w:r>
              <w:t>Sustainability Accounting Standards Board</w:t>
            </w:r>
          </w:p>
        </w:tc>
        <w:tc>
          <w:tcPr>
            <w:tcW w:w="3120" w:type="dxa"/>
          </w:tcPr>
          <w:p w14:paraId="546C3DBD" w14:textId="77777777" w:rsidR="007C6AD8" w:rsidRDefault="00000000">
            <w:pPr>
              <w:pStyle w:val="Compact"/>
            </w:pPr>
            <w:r>
              <w:t>Disclosure standard</w:t>
            </w:r>
          </w:p>
        </w:tc>
      </w:tr>
      <w:tr w:rsidR="007C6AD8" w14:paraId="1C83BC9B" w14:textId="77777777">
        <w:tc>
          <w:tcPr>
            <w:tcW w:w="3120" w:type="dxa"/>
          </w:tcPr>
          <w:p w14:paraId="4A572489" w14:textId="77777777" w:rsidR="007C6AD8" w:rsidRDefault="00000000">
            <w:pPr>
              <w:pStyle w:val="Compact"/>
            </w:pPr>
            <w:r>
              <w:t>TCFD</w:t>
            </w:r>
          </w:p>
        </w:tc>
        <w:tc>
          <w:tcPr>
            <w:tcW w:w="3120" w:type="dxa"/>
          </w:tcPr>
          <w:p w14:paraId="0C216D38" w14:textId="77777777" w:rsidR="007C6AD8" w:rsidRDefault="00000000">
            <w:pPr>
              <w:pStyle w:val="Compact"/>
            </w:pPr>
            <w:r>
              <w:t>Task Force on Climate-related Financial Disclosures</w:t>
            </w:r>
          </w:p>
        </w:tc>
        <w:tc>
          <w:tcPr>
            <w:tcW w:w="3120" w:type="dxa"/>
          </w:tcPr>
          <w:p w14:paraId="7967C1D3" w14:textId="77777777" w:rsidR="007C6AD8" w:rsidRDefault="00000000">
            <w:pPr>
              <w:pStyle w:val="Compact"/>
            </w:pPr>
            <w:r>
              <w:t>Disclosure standard (climate)</w:t>
            </w:r>
          </w:p>
        </w:tc>
      </w:tr>
      <w:tr w:rsidR="007C6AD8" w14:paraId="1EEA8363" w14:textId="77777777">
        <w:tc>
          <w:tcPr>
            <w:tcW w:w="3120" w:type="dxa"/>
          </w:tcPr>
          <w:p w14:paraId="04E75104" w14:textId="77777777" w:rsidR="007C6AD8" w:rsidRDefault="00000000">
            <w:pPr>
              <w:pStyle w:val="Compact"/>
            </w:pPr>
            <w:r>
              <w:t>CSRD/ESRS</w:t>
            </w:r>
          </w:p>
        </w:tc>
        <w:tc>
          <w:tcPr>
            <w:tcW w:w="3120" w:type="dxa"/>
          </w:tcPr>
          <w:p w14:paraId="391BBD9A" w14:textId="77777777" w:rsidR="007C6AD8" w:rsidRDefault="00000000">
            <w:pPr>
              <w:pStyle w:val="Compact"/>
            </w:pPr>
            <w:r>
              <w:t>Corporate Sustainability Reporting Directive / European Sustainability Reporting Standards</w:t>
            </w:r>
          </w:p>
        </w:tc>
        <w:tc>
          <w:tcPr>
            <w:tcW w:w="3120" w:type="dxa"/>
          </w:tcPr>
          <w:p w14:paraId="78458ACB" w14:textId="77777777" w:rsidR="007C6AD8" w:rsidRDefault="00000000">
            <w:pPr>
              <w:pStyle w:val="Compact"/>
            </w:pPr>
            <w:r>
              <w:t>EU disclosure regulation</w:t>
            </w:r>
          </w:p>
        </w:tc>
      </w:tr>
      <w:tr w:rsidR="007C6AD8" w14:paraId="1CD0F877" w14:textId="77777777">
        <w:tc>
          <w:tcPr>
            <w:tcW w:w="3120" w:type="dxa"/>
          </w:tcPr>
          <w:p w14:paraId="25BF2756" w14:textId="77777777" w:rsidR="007C6AD8" w:rsidRDefault="00000000">
            <w:pPr>
              <w:pStyle w:val="Compact"/>
            </w:pPr>
            <w:r>
              <w:t>ISSB</w:t>
            </w:r>
          </w:p>
        </w:tc>
        <w:tc>
          <w:tcPr>
            <w:tcW w:w="3120" w:type="dxa"/>
          </w:tcPr>
          <w:p w14:paraId="3154D4D3" w14:textId="77777777" w:rsidR="007C6AD8" w:rsidRDefault="00000000">
            <w:pPr>
              <w:pStyle w:val="Compact"/>
            </w:pPr>
            <w:r>
              <w:t>International Sustainability Standards Board</w:t>
            </w:r>
          </w:p>
        </w:tc>
        <w:tc>
          <w:tcPr>
            <w:tcW w:w="3120" w:type="dxa"/>
          </w:tcPr>
          <w:p w14:paraId="1E75808A" w14:textId="77777777" w:rsidR="007C6AD8" w:rsidRDefault="00000000">
            <w:pPr>
              <w:pStyle w:val="Compact"/>
            </w:pPr>
            <w:r>
              <w:t>Global disclosure baseline</w:t>
            </w:r>
          </w:p>
        </w:tc>
      </w:tr>
      <w:tr w:rsidR="007C6AD8" w14:paraId="38C2DAAD" w14:textId="77777777">
        <w:tc>
          <w:tcPr>
            <w:tcW w:w="3120" w:type="dxa"/>
          </w:tcPr>
          <w:p w14:paraId="17D8A7E7" w14:textId="77777777" w:rsidR="007C6AD8" w:rsidRDefault="00000000">
            <w:pPr>
              <w:pStyle w:val="Compact"/>
            </w:pPr>
            <w:r>
              <w:t>TSRS</w:t>
            </w:r>
          </w:p>
        </w:tc>
        <w:tc>
          <w:tcPr>
            <w:tcW w:w="3120" w:type="dxa"/>
          </w:tcPr>
          <w:p w14:paraId="6DAE0502" w14:textId="77777777" w:rsidR="007C6AD8" w:rsidRDefault="00000000">
            <w:pPr>
              <w:pStyle w:val="Compact"/>
            </w:pPr>
            <w:r>
              <w:t>Türkiye Sustainability Reporting Standards</w:t>
            </w:r>
          </w:p>
        </w:tc>
        <w:tc>
          <w:tcPr>
            <w:tcW w:w="3120" w:type="dxa"/>
          </w:tcPr>
          <w:p w14:paraId="4803117E" w14:textId="77777777" w:rsidR="007C6AD8" w:rsidRDefault="00000000">
            <w:pPr>
              <w:pStyle w:val="Compact"/>
            </w:pPr>
            <w:r>
              <w:t>National disclosure standard</w:t>
            </w:r>
          </w:p>
        </w:tc>
      </w:tr>
      <w:tr w:rsidR="007C6AD8" w14:paraId="2C4EE73E" w14:textId="77777777">
        <w:tc>
          <w:tcPr>
            <w:tcW w:w="3120" w:type="dxa"/>
          </w:tcPr>
          <w:p w14:paraId="264BF8C3" w14:textId="77777777" w:rsidR="007C6AD8" w:rsidRDefault="00000000">
            <w:pPr>
              <w:pStyle w:val="Compact"/>
            </w:pPr>
            <w:r>
              <w:t>CORSIA</w:t>
            </w:r>
          </w:p>
        </w:tc>
        <w:tc>
          <w:tcPr>
            <w:tcW w:w="3120" w:type="dxa"/>
          </w:tcPr>
          <w:p w14:paraId="4B93297B" w14:textId="77777777" w:rsidR="007C6AD8" w:rsidRDefault="00000000">
            <w:pPr>
              <w:pStyle w:val="Compact"/>
            </w:pPr>
            <w:r>
              <w:t xml:space="preserve">Carbon Offsetting and Reduction </w:t>
            </w:r>
            <w:r>
              <w:lastRenderedPageBreak/>
              <w:t>Scheme for International Aviation</w:t>
            </w:r>
          </w:p>
        </w:tc>
        <w:tc>
          <w:tcPr>
            <w:tcW w:w="3120" w:type="dxa"/>
          </w:tcPr>
          <w:p w14:paraId="67AB28F3" w14:textId="77777777" w:rsidR="007C6AD8" w:rsidRDefault="00000000">
            <w:pPr>
              <w:pStyle w:val="Compact"/>
            </w:pPr>
            <w:r>
              <w:lastRenderedPageBreak/>
              <w:t>Sector-specific climate framework</w:t>
            </w:r>
          </w:p>
        </w:tc>
      </w:tr>
      <w:tr w:rsidR="007C6AD8" w14:paraId="42F990C4" w14:textId="77777777">
        <w:tc>
          <w:tcPr>
            <w:tcW w:w="3120" w:type="dxa"/>
          </w:tcPr>
          <w:p w14:paraId="6A09FDC1" w14:textId="77777777" w:rsidR="007C6AD8" w:rsidRDefault="00000000">
            <w:pPr>
              <w:pStyle w:val="Compact"/>
            </w:pPr>
            <w:r>
              <w:t>NIST AI RMF</w:t>
            </w:r>
          </w:p>
        </w:tc>
        <w:tc>
          <w:tcPr>
            <w:tcW w:w="3120" w:type="dxa"/>
          </w:tcPr>
          <w:p w14:paraId="1C58B2DA" w14:textId="77777777" w:rsidR="007C6AD8" w:rsidRDefault="00000000">
            <w:pPr>
              <w:pStyle w:val="Compact"/>
            </w:pPr>
            <w:r>
              <w:t>NIST AI Risk Management Framework</w:t>
            </w:r>
          </w:p>
        </w:tc>
        <w:tc>
          <w:tcPr>
            <w:tcW w:w="3120" w:type="dxa"/>
          </w:tcPr>
          <w:p w14:paraId="11D21197" w14:textId="77777777" w:rsidR="007C6AD8" w:rsidRDefault="00000000">
            <w:pPr>
              <w:pStyle w:val="Compact"/>
            </w:pPr>
            <w:r>
              <w:t>AI governance framework</w:t>
            </w:r>
          </w:p>
        </w:tc>
      </w:tr>
      <w:tr w:rsidR="007C6AD8" w14:paraId="53A045FA" w14:textId="77777777">
        <w:tc>
          <w:tcPr>
            <w:tcW w:w="3120" w:type="dxa"/>
          </w:tcPr>
          <w:p w14:paraId="7B3390E8" w14:textId="77777777" w:rsidR="007C6AD8" w:rsidRDefault="00000000">
            <w:pPr>
              <w:pStyle w:val="Compact"/>
            </w:pPr>
            <w:r>
              <w:t>ISO/IEC 42001</w:t>
            </w:r>
          </w:p>
        </w:tc>
        <w:tc>
          <w:tcPr>
            <w:tcW w:w="3120" w:type="dxa"/>
          </w:tcPr>
          <w:p w14:paraId="044B0F18" w14:textId="77777777" w:rsidR="007C6AD8" w:rsidRDefault="00000000">
            <w:pPr>
              <w:pStyle w:val="Compact"/>
            </w:pPr>
            <w:r>
              <w:t>AI management system standard</w:t>
            </w:r>
          </w:p>
        </w:tc>
        <w:tc>
          <w:tcPr>
            <w:tcW w:w="3120" w:type="dxa"/>
          </w:tcPr>
          <w:p w14:paraId="4E8EB41B" w14:textId="77777777" w:rsidR="007C6AD8" w:rsidRDefault="00000000">
            <w:pPr>
              <w:pStyle w:val="Compact"/>
            </w:pPr>
            <w:r>
              <w:t>AI governance certification</w:t>
            </w:r>
          </w:p>
        </w:tc>
      </w:tr>
      <w:tr w:rsidR="007C6AD8" w14:paraId="36C90024" w14:textId="77777777">
        <w:tc>
          <w:tcPr>
            <w:tcW w:w="3120" w:type="dxa"/>
          </w:tcPr>
          <w:p w14:paraId="46A95D50" w14:textId="77777777" w:rsidR="007C6AD8" w:rsidRDefault="00000000">
            <w:pPr>
              <w:pStyle w:val="Compact"/>
            </w:pPr>
            <w:r>
              <w:t>NGFS</w:t>
            </w:r>
          </w:p>
        </w:tc>
        <w:tc>
          <w:tcPr>
            <w:tcW w:w="3120" w:type="dxa"/>
          </w:tcPr>
          <w:p w14:paraId="6A6DA991" w14:textId="77777777" w:rsidR="007C6AD8" w:rsidRDefault="00000000">
            <w:pPr>
              <w:pStyle w:val="Compact"/>
            </w:pPr>
            <w:r>
              <w:t>Network for Greening the Financial System</w:t>
            </w:r>
          </w:p>
        </w:tc>
        <w:tc>
          <w:tcPr>
            <w:tcW w:w="3120" w:type="dxa"/>
          </w:tcPr>
          <w:p w14:paraId="0C0F01E9" w14:textId="77777777" w:rsidR="007C6AD8" w:rsidRDefault="00000000">
            <w:pPr>
              <w:pStyle w:val="Compact"/>
            </w:pPr>
            <w:r>
              <w:t>Climate scenario framework</w:t>
            </w:r>
          </w:p>
        </w:tc>
      </w:tr>
    </w:tbl>
    <w:p w14:paraId="58173D45" w14:textId="77777777" w:rsidR="007C6AD8" w:rsidRDefault="00000000">
      <w:pPr>
        <w:pStyle w:val="Heading2"/>
      </w:pPr>
      <w:bookmarkStart w:id="100" w:name="additional-discussion-questions"/>
      <w:r>
        <w:t>Additional Discussion Questions</w:t>
      </w:r>
      <w:bookmarkEnd w:id="100"/>
    </w:p>
    <w:p w14:paraId="0E9651E4" w14:textId="77777777" w:rsidR="007C6AD8" w:rsidRDefault="00000000">
      <w:pPr>
        <w:pStyle w:val="Compact"/>
        <w:numPr>
          <w:ilvl w:val="0"/>
          <w:numId w:val="8"/>
        </w:numPr>
      </w:pPr>
      <w:r>
        <w:t>Using Appendix II’s four-dimension AI-governance scorecard, score any one of Koç, Sabancı, or THY on all four dimensions and identify which single dimension, if improved first, would most improve the company’s overall AI-governance credibility.</w:t>
      </w:r>
    </w:p>
    <w:p w14:paraId="37D058CB" w14:textId="77777777" w:rsidR="007C6AD8" w:rsidRDefault="00000000">
      <w:pPr>
        <w:pStyle w:val="Compact"/>
        <w:numPr>
          <w:ilvl w:val="0"/>
          <w:numId w:val="8"/>
        </w:numPr>
      </w:pPr>
      <w:r>
        <w:t>Compare the DWS/Deutsche Bank case (Appendix AA.1) with Tesla’s ESG-index removal (Section 2.5). Both involve a mismatch between an ESG claim and an external assessment — what distinguishes a disclosure-integrity failure from a ratings-methodology mismatch, and why does the distinction matter for how a board should respond?</w:t>
      </w:r>
    </w:p>
    <w:p w14:paraId="4EEB29BB" w14:textId="77777777" w:rsidR="007C6AD8" w:rsidRDefault="00000000">
      <w:pPr>
        <w:pStyle w:val="Compact"/>
        <w:numPr>
          <w:ilvl w:val="0"/>
          <w:numId w:val="8"/>
        </w:numPr>
      </w:pPr>
      <w:r>
        <w:t>Using Appendix KK’s comparison table, identify two cases that share an archetype but had very different consequences. What specific factor explains the difference in outcome?</w:t>
      </w:r>
    </w:p>
    <w:p w14:paraId="2EACB770" w14:textId="77777777" w:rsidR="007C6AD8" w:rsidRDefault="00000000">
      <w:pPr>
        <w:pStyle w:val="Heading2"/>
      </w:pPr>
      <w:bookmarkStart w:id="101" w:name="X68cf97746f40257d6dbc5259f5137005d9f5d82"/>
      <w:r>
        <w:t>Appendix MM — The Hiring-Algorithm Dilemma: An Applied Exercise</w:t>
      </w:r>
      <w:bookmarkEnd w:id="101"/>
    </w:p>
    <w:p w14:paraId="3306089F" w14:textId="77777777" w:rsidR="007C6AD8" w:rsidRDefault="00000000">
      <w:pPr>
        <w:pStyle w:val="FirstParagraph"/>
      </w:pPr>
      <w:r>
        <w:t>Suppose a Turkish holding company’s HR function proposes deploying an AI-based resume-screening tool trained on the company’s own decade of historical hiring data, to reduce recruiter workload. Applying the Amazon lesson (Section 2.14) directly: before deployment, the review question is not “does the tool work” (it will very likely produce plausible-looking rankings) but “what pattern in our own historical hiring data might the tool learn to reproduce, and have we tested for it specifically” — including testing outcomes by gender, university tier, and other protected or sensitive characteristics against a validation set, not merely checking overall accuracy against past recruiter decisions. Applying the vendor due-diligence checklist (Appendix GG) if the tool is externally procured rather than built in-house: does the vendor provide bias-testing documentation, and does the contract include an audit right the company could actually exercise if a concern later arises? Applying the AI-governance scorecard (Appendix II): this single use case is a direct, concrete input into Dimension Two (technical verification capability) for whichever of the three running companies is considering it — a useful, low-cost way to build a genuine AI-governance track record rather than only a policy statement.</w:t>
      </w:r>
    </w:p>
    <w:p w14:paraId="098599CD" w14:textId="77777777" w:rsidR="007C6AD8" w:rsidRDefault="00000000">
      <w:pPr>
        <w:pStyle w:val="Heading2"/>
      </w:pPr>
      <w:bookmarkStart w:id="102" w:name="Xa9ac456af96f0be68b230e087a50d1484cd8f57"/>
      <w:r>
        <w:t>Appendix NN — The Carbon-Data Agentic Pipeline: A Note on Emerging Risk</w:t>
      </w:r>
      <w:bookmarkEnd w:id="102"/>
    </w:p>
    <w:p w14:paraId="6569FF5F" w14:textId="77777777" w:rsidR="007C6AD8" w:rsidRDefault="00000000">
      <w:pPr>
        <w:pStyle w:val="FirstParagraph"/>
      </w:pPr>
      <w:r>
        <w:t xml:space="preserve">An increasingly common practice among large companies, including diversified holdings with numerous subsidiaries, is using AI/agentic systems to aggregate and pre-populate emissions and other ESG disclosure data across business units before human review — reducing the manual burden of CSRD/ESRS-style reporting at scale. This creates a specific, underexamined governance risk: if the aggregation system has an error or a systematic bias in how it estimates missing subsidiary-level data (Appendix B.3’s “modeled versus reported data” problem, now automated), the error could propagate into a company’s formal sustainability disclosure with less human scrutiny than a fully manual reporting process would have applied. For any of the three running cases moving toward more automated ESG data pipelines as CSRD/TSRS reporting scales up, this is a governance risk that sits precisely at the intersection of Part III (measurement) and AI governance (Part III.4, Appendix F) — and a concrete, near-term </w:t>
      </w:r>
      <w:r>
        <w:lastRenderedPageBreak/>
        <w:t>reason the two disclosure-convergence trends noted throughout this reader (ESG reporting and AI governance) are becoming operationally, not just conceptually, linked.</w:t>
      </w:r>
    </w:p>
    <w:p w14:paraId="2E76DEAB" w14:textId="77777777" w:rsidR="007C6AD8" w:rsidRDefault="00000000">
      <w:pPr>
        <w:pStyle w:val="Heading2"/>
      </w:pPr>
      <w:bookmarkStart w:id="103" w:name="X56aa2355765903b44f1bf211df3ea97a3e83ff7"/>
      <w:r>
        <w:t>Appendix OO — Disclosure Convergence Between AI Governance and ESG Governance</w:t>
      </w:r>
      <w:bookmarkEnd w:id="103"/>
    </w:p>
    <w:p w14:paraId="214902F7" w14:textId="77777777" w:rsidR="007C6AD8" w:rsidRDefault="00000000">
      <w:pPr>
        <w:pStyle w:val="FirstParagraph"/>
      </w:pPr>
      <w:r>
        <w:t>A broader pattern worth naming explicitly: AI-governance disclosure is increasingly being folded into the same reporting infrastructure as ESG disclosure, rather than developing as a fully separate discipline. CSRD’s ESRS standards already require disclosure of governance processes for material risks broadly defined, which can capture AI-related risk where material; several major companies now include AI-governance sections directly within their sustainability reports rather than in a separate technology-risk disclosure. For the three Turkish running cases, this convergence is a practical opportunity: formalizing AI governance does not necessarily require an entirely new reporting function — it can be built as an extension of the sustainability-reporting infrastructure all three companies already have functioning at reasonable maturity (Part V), rather than requiring a governance capability built from zero.</w:t>
      </w:r>
    </w:p>
    <w:p w14:paraId="09038418" w14:textId="77777777" w:rsidR="007C6AD8" w:rsidRDefault="00000000">
      <w:pPr>
        <w:pStyle w:val="Heading2"/>
      </w:pPr>
      <w:bookmarkStart w:id="104" w:name="X2b46bfd295d8cc91cc38d11d630db64254c27a4"/>
      <w:r>
        <w:t>Appendix PP — Board Information Rights Over Vendor-Procured AI Systems</w:t>
      </w:r>
      <w:bookmarkEnd w:id="104"/>
    </w:p>
    <w:p w14:paraId="66EF2F55" w14:textId="77777777" w:rsidR="007C6AD8" w:rsidRDefault="00000000">
      <w:pPr>
        <w:pStyle w:val="FirstParagraph"/>
      </w:pPr>
      <w:r>
        <w:t>A specific legal and governance question increasingly facing boards, distinct from the technical due-diligence checklist in Appendix GG: does the board itself, as a matter of governance right (not just management practice), have a defined right to demand information about a material vendor-procured AI system, comparable to its established rights over financial information from external auditors? Most corporate governance codes do not yet specify this explicitly, leaving it to individual board or committee charters (Appendix F/X) to establish. A board relying entirely on management’s summary of vendor AI system risk, without any independent information right, is in a structurally weaker position than one with an explicit charter provision — directly analogous to why audit committees have well-established direct-access rights to external auditors, a norm that AI-oversight governance has not yet caught up to industry-wide.</w:t>
      </w:r>
    </w:p>
    <w:p w14:paraId="00F7CCF0" w14:textId="77777777" w:rsidR="007C6AD8" w:rsidRDefault="00000000">
      <w:pPr>
        <w:pStyle w:val="Heading2"/>
      </w:pPr>
      <w:bookmarkStart w:id="105" w:name="final-note-on-scope"/>
      <w:r>
        <w:t>Final Note on Scope</w:t>
      </w:r>
      <w:bookmarkEnd w:id="105"/>
    </w:p>
    <w:p w14:paraId="3D7DCCBC" w14:textId="77777777" w:rsidR="007C6AD8" w:rsidRDefault="00000000">
      <w:pPr>
        <w:pStyle w:val="FirstParagraph"/>
      </w:pPr>
      <w:r>
        <w:t>This reader deliberately does not attempt to cover every ESG framework, every AI-governance regulation, or every possible case in exhaustive depth. Its purpose is to give you working fluency in a small number of transferable methods — the Section 1.1/1.2 frameworks, the Section 3.3 scorecard method, the Appendix Q archetypes, and the four-dimension AI-governance scorecard in Appendix II — demonstrated against a consistent set of real cases and a consistent applied comparison (Koç, Sabancı, THY) you can extend to any company you encounter after this course.</w:t>
      </w:r>
    </w:p>
    <w:p w14:paraId="1E240EF5" w14:textId="77777777" w:rsidR="007C6AD8" w:rsidRDefault="00000000">
      <w:pPr>
        <w:pStyle w:val="Heading2"/>
      </w:pPr>
      <w:bookmarkStart w:id="106" w:name="Xe36b547b1cabafb57d7d4408d2aaa75b219e9f6"/>
      <w:r>
        <w:t>Appendix QQ — Stewardship Code Obligations and the Turkish Context</w:t>
      </w:r>
      <w:bookmarkEnd w:id="106"/>
    </w:p>
    <w:p w14:paraId="685E96F5" w14:textId="77777777" w:rsidR="007C6AD8" w:rsidRDefault="00000000">
      <w:pPr>
        <w:pStyle w:val="FirstParagraph"/>
      </w:pPr>
      <w:r>
        <w:t xml:space="preserve">Many jurisdictions now have formal “stewardship codes” — voluntary or quasi-mandatory frameworks (the UK Stewardship Code being the original model, with equivalents adopted across Europe and parts of Asia) requiring institutional investors to disclose how they exercise their ownership rights, including on ESG and, increasingly, AI-governance matters. Türkiye does not yet have a directly equivalent domestic stewardship code, meaning the engagement pressure described in Appendix H and Appendix V, for foreign institutional shareholders of Koç, Sabancı, or THY, currently flows primarily through those investors’ home-jurisdiction stewardship obligations rather than a Turkish-domestic requirement — a further reason foreign institutional ownership share is a meaningful predictor of how much external engagement pressure a Turkish issuer can expect on the AI-governance gap this </w:t>
      </w:r>
      <w:r>
        <w:lastRenderedPageBreak/>
        <w:t>reader has identified, and a plausible area for BIST or Turkish capital-markets regulators to develop further as international capital-market integration continues.</w:t>
      </w:r>
    </w:p>
    <w:p w14:paraId="0FD21990" w14:textId="77777777" w:rsidR="007C6AD8" w:rsidRDefault="00000000">
      <w:pPr>
        <w:pStyle w:val="Heading2"/>
      </w:pPr>
      <w:bookmarkStart w:id="107" w:name="Xa1cf6ac94bccfb751f12434bdef2b1e0a29c48c"/>
      <w:r>
        <w:t>Appendix RR — A Note on Explainability Versus Performance Trade-offs</w:t>
      </w:r>
      <w:bookmarkEnd w:id="107"/>
    </w:p>
    <w:p w14:paraId="0A2B53A7" w14:textId="77777777" w:rsidR="007C6AD8" w:rsidRDefault="00000000">
      <w:pPr>
        <w:pStyle w:val="FirstParagraph"/>
      </w:pPr>
      <w:r>
        <w:t xml:space="preserve">A recurring technical tension underlying several cases in this reader (Amazon’s recruiting tool, Uber’s algorithmic wage-setting, any bank’s AI-driven credit model) is that the most accurate AI models are frequently the least explainable — complex ensemble or deep-learning models can outperform simpler, more interpretable models on raw predictive accuracy, but make it harder to state clearly </w:t>
      </w:r>
      <w:r>
        <w:rPr>
          <w:i/>
        </w:rPr>
        <w:t>why</w:t>
      </w:r>
      <w:r>
        <w:t xml:space="preserve"> a specific individual received a specific output. Regulatory frameworks increasingly force this trade-off into the open rather than leaving it as a purely technical choice: the EU AI Act’s high-risk-system transparency requirements and, in credit specifically, longstanding adverse-action-notice requirements in multiple jurisdictions effectively require a company to be able to explain individual AI-driven decisions, which may mean accepting a less-accurate but more explainable model for a high-risk use case rather than deploying the highest-performing model available. This is a genuine governance trade-off, not simply a compliance cost — a board should expect management to be able to articulate explicitly where the company has made this trade-off and why, rather than assuming the most accurate available model is automatically the right governance choice.</w:t>
      </w:r>
    </w:p>
    <w:p w14:paraId="3B34D2D5" w14:textId="77777777" w:rsidR="007C6AD8" w:rsidRDefault="00000000">
      <w:pPr>
        <w:pStyle w:val="Heading2"/>
      </w:pPr>
      <w:bookmarkStart w:id="108" w:name="Xf10c3d8eea41baf645864ff1cecf2c814191726"/>
      <w:r>
        <w:t>Appendix SS — A Recommended Standard of Evidence for Course Written Work</w:t>
      </w:r>
      <w:bookmarkEnd w:id="108"/>
    </w:p>
    <w:p w14:paraId="748912D0" w14:textId="77777777" w:rsidR="007C6AD8" w:rsidRDefault="00000000">
      <w:pPr>
        <w:pStyle w:val="FirstParagraph"/>
      </w:pPr>
      <w:r>
        <w:t xml:space="preserve">Consistent with Appendix T’s evidentiary-tier framework, written work for this course should follow three concrete practices. First, </w:t>
      </w:r>
      <w:r>
        <w:rPr>
          <w:b/>
        </w:rPr>
        <w:t>attribute claims to their evidentiary tier explicitly</w:t>
      </w:r>
      <w:r>
        <w:t xml:space="preserve"> — write “Volkswagen pleaded guilty to…” for tier-one facts, “Sabancı’s sustainability report states…” for tier-two company disclosures, and “this reader infers…” or “publicly available information does not confirm…” for tier-three provisional judgments, rather than presenting all three in the same declarative tone. Second, </w:t>
      </w:r>
      <w:r>
        <w:rPr>
          <w:b/>
        </w:rPr>
        <w:t>date-stamp any regulatory-status claim</w:t>
      </w:r>
      <w:r>
        <w:t xml:space="preserve"> (“as of mid-2026 reporting”) given the demonstrated pace of change in both CSRD/ESRS and EU AI Act implementation timelines. Third, </w:t>
      </w:r>
      <w:r>
        <w:rPr>
          <w:b/>
        </w:rPr>
        <w:t>when applying the Section 3.3 scorecard or Appendix II’s AI-governance scorecard to a real company</w:t>
      </w:r>
      <w:r>
        <w:t>, show your scoring reasoning, not just the final score — the reasoning is what a grader (or a real board) can actually evaluate and challenge, while a bare numeric score, exactly like a bare ESG rating (Section 3.2), invites exactly the over-trust problem this reader has spent Part III warning against.</w:t>
      </w:r>
    </w:p>
    <w:p w14:paraId="49A3A2CF" w14:textId="77777777" w:rsidR="007C6AD8" w:rsidRDefault="00000000">
      <w:pPr>
        <w:pStyle w:val="Heading2"/>
      </w:pPr>
      <w:bookmarkStart w:id="109" w:name="appendix-tt-a-final-comparative-snapshot"/>
      <w:r>
        <w:t>Appendix TT — A Final Comparative Snapshot</w:t>
      </w:r>
      <w:bookmarkEnd w:id="109"/>
    </w:p>
    <w:tbl>
      <w:tblPr>
        <w:tblStyle w:val="Table"/>
        <w:tblW w:w="9360" w:type="dxa"/>
        <w:tblInd w:w="108" w:type="dxa"/>
        <w:tblLayout w:type="fixed"/>
        <w:tblLook w:val="07E0" w:firstRow="1" w:lastRow="1" w:firstColumn="1" w:lastColumn="1" w:noHBand="1" w:noVBand="1"/>
      </w:tblPr>
      <w:tblGrid>
        <w:gridCol w:w="2340"/>
        <w:gridCol w:w="2340"/>
        <w:gridCol w:w="2340"/>
        <w:gridCol w:w="2340"/>
      </w:tblGrid>
      <w:tr w:rsidR="007C6AD8" w14:paraId="12D39ABD" w14:textId="77777777">
        <w:tc>
          <w:tcPr>
            <w:tcW w:w="2340" w:type="dxa"/>
            <w:tcBorders>
              <w:bottom w:val="single" w:sz="0" w:space="0" w:color="auto"/>
            </w:tcBorders>
            <w:shd w:val="clear" w:color="auto" w:fill="1F3864"/>
            <w:vAlign w:val="bottom"/>
          </w:tcPr>
          <w:p w14:paraId="25A9B2BF" w14:textId="77777777" w:rsidR="007C6AD8" w:rsidRDefault="007C6AD8"/>
        </w:tc>
        <w:tc>
          <w:tcPr>
            <w:tcW w:w="2340" w:type="dxa"/>
            <w:tcBorders>
              <w:bottom w:val="single" w:sz="0" w:space="0" w:color="auto"/>
            </w:tcBorders>
            <w:shd w:val="clear" w:color="auto" w:fill="1F3864"/>
            <w:vAlign w:val="bottom"/>
          </w:tcPr>
          <w:p w14:paraId="7A3B112A" w14:textId="77777777" w:rsidR="007C6AD8" w:rsidRDefault="00000000">
            <w:pPr>
              <w:pStyle w:val="Compact"/>
            </w:pPr>
            <w:r>
              <w:rPr>
                <w:b/>
                <w:color w:val="FFFFFF"/>
              </w:rPr>
              <w:t>Koç Holding</w:t>
            </w:r>
          </w:p>
        </w:tc>
        <w:tc>
          <w:tcPr>
            <w:tcW w:w="2340" w:type="dxa"/>
            <w:tcBorders>
              <w:bottom w:val="single" w:sz="0" w:space="0" w:color="auto"/>
            </w:tcBorders>
            <w:shd w:val="clear" w:color="auto" w:fill="1F3864"/>
            <w:vAlign w:val="bottom"/>
          </w:tcPr>
          <w:p w14:paraId="470E78E9" w14:textId="77777777" w:rsidR="007C6AD8" w:rsidRDefault="00000000">
            <w:pPr>
              <w:pStyle w:val="Compact"/>
            </w:pPr>
            <w:r>
              <w:rPr>
                <w:b/>
                <w:color w:val="FFFFFF"/>
              </w:rPr>
              <w:t>Sabancı Holding</w:t>
            </w:r>
          </w:p>
        </w:tc>
        <w:tc>
          <w:tcPr>
            <w:tcW w:w="2340" w:type="dxa"/>
            <w:tcBorders>
              <w:bottom w:val="single" w:sz="0" w:space="0" w:color="auto"/>
            </w:tcBorders>
            <w:shd w:val="clear" w:color="auto" w:fill="1F3864"/>
            <w:vAlign w:val="bottom"/>
          </w:tcPr>
          <w:p w14:paraId="114157D7" w14:textId="77777777" w:rsidR="007C6AD8" w:rsidRDefault="00000000">
            <w:pPr>
              <w:pStyle w:val="Compact"/>
            </w:pPr>
            <w:r>
              <w:rPr>
                <w:b/>
                <w:color w:val="FFFFFF"/>
              </w:rPr>
              <w:t>Turkish Airlines (THY)</w:t>
            </w:r>
          </w:p>
        </w:tc>
      </w:tr>
      <w:tr w:rsidR="007C6AD8" w14:paraId="03C226A7" w14:textId="77777777">
        <w:tc>
          <w:tcPr>
            <w:tcW w:w="2340" w:type="dxa"/>
          </w:tcPr>
          <w:p w14:paraId="5AE41103" w14:textId="77777777" w:rsidR="007C6AD8" w:rsidRDefault="00000000">
            <w:pPr>
              <w:pStyle w:val="Compact"/>
            </w:pPr>
            <w:r>
              <w:t>Core businesses</w:t>
            </w:r>
          </w:p>
        </w:tc>
        <w:tc>
          <w:tcPr>
            <w:tcW w:w="2340" w:type="dxa"/>
          </w:tcPr>
          <w:p w14:paraId="7A6D7D72" w14:textId="77777777" w:rsidR="007C6AD8" w:rsidRDefault="00000000">
            <w:pPr>
              <w:pStyle w:val="Compact"/>
            </w:pPr>
            <w:r>
              <w:t>Diversified industrial (automotive, appliances, energy, financial services)</w:t>
            </w:r>
          </w:p>
        </w:tc>
        <w:tc>
          <w:tcPr>
            <w:tcW w:w="2340" w:type="dxa"/>
          </w:tcPr>
          <w:p w14:paraId="55728B0E" w14:textId="77777777" w:rsidR="007C6AD8" w:rsidRDefault="00000000">
            <w:pPr>
              <w:pStyle w:val="Compact"/>
            </w:pPr>
            <w:r>
              <w:t>Diversified industrial and financial (banking, energy, tire/cord, cement)</w:t>
            </w:r>
          </w:p>
        </w:tc>
        <w:tc>
          <w:tcPr>
            <w:tcW w:w="2340" w:type="dxa"/>
          </w:tcPr>
          <w:p w14:paraId="264D6FAE" w14:textId="77777777" w:rsidR="007C6AD8" w:rsidRDefault="00000000">
            <w:pPr>
              <w:pStyle w:val="Compact"/>
            </w:pPr>
            <w:r>
              <w:t>Flag-carrier aviation</w:t>
            </w:r>
          </w:p>
        </w:tc>
      </w:tr>
      <w:tr w:rsidR="007C6AD8" w14:paraId="75A633C1" w14:textId="77777777">
        <w:tc>
          <w:tcPr>
            <w:tcW w:w="2340" w:type="dxa"/>
          </w:tcPr>
          <w:p w14:paraId="4A51903C" w14:textId="77777777" w:rsidR="007C6AD8" w:rsidRDefault="00000000">
            <w:pPr>
              <w:pStyle w:val="Compact"/>
            </w:pPr>
            <w:r>
              <w:t>Longest-standing ESG credential</w:t>
            </w:r>
          </w:p>
        </w:tc>
        <w:tc>
          <w:tcPr>
            <w:tcW w:w="2340" w:type="dxa"/>
          </w:tcPr>
          <w:p w14:paraId="36173726" w14:textId="77777777" w:rsidR="007C6AD8" w:rsidRDefault="00000000">
            <w:pPr>
              <w:pStyle w:val="Compact"/>
            </w:pPr>
            <w:r>
              <w:t>DJSI/S&amp;P Global Sustainability Yearbook history</w:t>
            </w:r>
          </w:p>
        </w:tc>
        <w:tc>
          <w:tcPr>
            <w:tcW w:w="2340" w:type="dxa"/>
          </w:tcPr>
          <w:p w14:paraId="33AB6F1E" w14:textId="77777777" w:rsidR="007C6AD8" w:rsidRDefault="00000000">
            <w:pPr>
              <w:pStyle w:val="Compact"/>
            </w:pPr>
            <w:r>
              <w:t>Investment-grade ESG ratings across major raters</w:t>
            </w:r>
          </w:p>
        </w:tc>
        <w:tc>
          <w:tcPr>
            <w:tcW w:w="2340" w:type="dxa"/>
          </w:tcPr>
          <w:p w14:paraId="52D2A239" w14:textId="77777777" w:rsidR="007C6AD8" w:rsidRDefault="00000000">
            <w:pPr>
              <w:pStyle w:val="Compact"/>
            </w:pPr>
            <w:r>
              <w:t>Four-pillar sustainability reporting; SAF use since Feb. 2022</w:t>
            </w:r>
          </w:p>
        </w:tc>
      </w:tr>
      <w:tr w:rsidR="007C6AD8" w14:paraId="3A6DAA7E" w14:textId="77777777">
        <w:tc>
          <w:tcPr>
            <w:tcW w:w="2340" w:type="dxa"/>
          </w:tcPr>
          <w:p w14:paraId="041C6528" w14:textId="77777777" w:rsidR="007C6AD8" w:rsidRDefault="00000000">
            <w:pPr>
              <w:pStyle w:val="Compact"/>
            </w:pPr>
            <w:r>
              <w:t>Highest-materiality ESG issue</w:t>
            </w:r>
          </w:p>
        </w:tc>
        <w:tc>
          <w:tcPr>
            <w:tcW w:w="2340" w:type="dxa"/>
          </w:tcPr>
          <w:p w14:paraId="506174B0" w14:textId="77777777" w:rsidR="007C6AD8" w:rsidRDefault="00000000">
            <w:pPr>
              <w:pStyle w:val="Compact"/>
            </w:pPr>
            <w:r>
              <w:t>Product-level decarbonization (Ford Otosan, Arçelik)</w:t>
            </w:r>
          </w:p>
        </w:tc>
        <w:tc>
          <w:tcPr>
            <w:tcW w:w="2340" w:type="dxa"/>
          </w:tcPr>
          <w:p w14:paraId="45C676E1" w14:textId="77777777" w:rsidR="007C6AD8" w:rsidRDefault="00000000">
            <w:pPr>
              <w:pStyle w:val="Compact"/>
            </w:pPr>
            <w:r>
              <w:t>Enerjisa’s thermal-to-renewables transition</w:t>
            </w:r>
          </w:p>
        </w:tc>
        <w:tc>
          <w:tcPr>
            <w:tcW w:w="2340" w:type="dxa"/>
          </w:tcPr>
          <w:p w14:paraId="69CB61A3" w14:textId="77777777" w:rsidR="007C6AD8" w:rsidRDefault="00000000">
            <w:pPr>
              <w:pStyle w:val="Compact"/>
            </w:pPr>
            <w:r>
              <w:t>Aviation emissions / CORSIA compliance</w:t>
            </w:r>
          </w:p>
        </w:tc>
      </w:tr>
      <w:tr w:rsidR="007C6AD8" w:rsidRPr="008D05F7" w14:paraId="462990F8" w14:textId="77777777">
        <w:tc>
          <w:tcPr>
            <w:tcW w:w="2340" w:type="dxa"/>
          </w:tcPr>
          <w:p w14:paraId="1C327C6B" w14:textId="77777777" w:rsidR="007C6AD8" w:rsidRDefault="00000000">
            <w:pPr>
              <w:pStyle w:val="Compact"/>
            </w:pPr>
            <w:r>
              <w:t xml:space="preserve">Clearest under-disclosed </w:t>
            </w:r>
            <w:r>
              <w:lastRenderedPageBreak/>
              <w:t>dimension</w:t>
            </w:r>
          </w:p>
        </w:tc>
        <w:tc>
          <w:tcPr>
            <w:tcW w:w="2340" w:type="dxa"/>
          </w:tcPr>
          <w:p w14:paraId="57DBC3C6" w14:textId="77777777" w:rsidR="007C6AD8" w:rsidRDefault="00000000">
            <w:pPr>
              <w:pStyle w:val="Compact"/>
            </w:pPr>
            <w:r>
              <w:lastRenderedPageBreak/>
              <w:t xml:space="preserve">Group-wide AI </w:t>
            </w:r>
            <w:r>
              <w:lastRenderedPageBreak/>
              <w:t>governance structure</w:t>
            </w:r>
          </w:p>
        </w:tc>
        <w:tc>
          <w:tcPr>
            <w:tcW w:w="2340" w:type="dxa"/>
          </w:tcPr>
          <w:p w14:paraId="24F277E5" w14:textId="77777777" w:rsidR="007C6AD8" w:rsidRDefault="00000000">
            <w:pPr>
              <w:pStyle w:val="Compact"/>
            </w:pPr>
            <w:r>
              <w:lastRenderedPageBreak/>
              <w:t xml:space="preserve">Enerjisa just-transition </w:t>
            </w:r>
            <w:r>
              <w:lastRenderedPageBreak/>
              <w:t>workforce detail</w:t>
            </w:r>
          </w:p>
        </w:tc>
        <w:tc>
          <w:tcPr>
            <w:tcW w:w="2340" w:type="dxa"/>
          </w:tcPr>
          <w:p w14:paraId="04EE546D" w14:textId="77777777" w:rsidR="007C6AD8" w:rsidRPr="008D05F7" w:rsidRDefault="00000000">
            <w:pPr>
              <w:pStyle w:val="Compact"/>
              <w:rPr>
                <w:lang w:val="pt-PT"/>
              </w:rPr>
            </w:pPr>
            <w:r w:rsidRPr="008D05F7">
              <w:rPr>
                <w:lang w:val="pt-PT"/>
              </w:rPr>
              <w:lastRenderedPageBreak/>
              <w:t xml:space="preserve">AI governance under EU AI Act extraterritorial </w:t>
            </w:r>
            <w:r w:rsidRPr="008D05F7">
              <w:rPr>
                <w:lang w:val="pt-PT"/>
              </w:rPr>
              <w:lastRenderedPageBreak/>
              <w:t>exposure</w:t>
            </w:r>
          </w:p>
        </w:tc>
      </w:tr>
      <w:tr w:rsidR="007C6AD8" w14:paraId="401D1ABB" w14:textId="77777777">
        <w:tc>
          <w:tcPr>
            <w:tcW w:w="2340" w:type="dxa"/>
          </w:tcPr>
          <w:p w14:paraId="43AB5CD9" w14:textId="77777777" w:rsidR="007C6AD8" w:rsidRDefault="00000000">
            <w:pPr>
              <w:pStyle w:val="Compact"/>
            </w:pPr>
            <w:r>
              <w:lastRenderedPageBreak/>
              <w:t xml:space="preserve">Most transferable governance </w:t>
            </w:r>
            <w:proofErr w:type="gramStart"/>
            <w:r>
              <w:t>lesson</w:t>
            </w:r>
            <w:proofErr w:type="gramEnd"/>
            <w:r>
              <w:t xml:space="preserve"> for students</w:t>
            </w:r>
          </w:p>
        </w:tc>
        <w:tc>
          <w:tcPr>
            <w:tcW w:w="2340" w:type="dxa"/>
          </w:tcPr>
          <w:p w14:paraId="2015DA1C" w14:textId="77777777" w:rsidR="007C6AD8" w:rsidRDefault="00000000">
            <w:pPr>
              <w:pStyle w:val="Compact"/>
            </w:pPr>
            <w:r>
              <w:t>Legacy disclosure discipline does not automatically extend to new risk categories (AI)</w:t>
            </w:r>
          </w:p>
        </w:tc>
        <w:tc>
          <w:tcPr>
            <w:tcW w:w="2340" w:type="dxa"/>
          </w:tcPr>
          <w:p w14:paraId="015D1F85" w14:textId="77777777" w:rsidR="007C6AD8" w:rsidRDefault="00000000">
            <w:pPr>
              <w:pStyle w:val="Compact"/>
            </w:pPr>
            <w:r>
              <w:t>Strong aggregate ESG ratings can coexist with under-disclosed transition-management detail</w:t>
            </w:r>
          </w:p>
        </w:tc>
        <w:tc>
          <w:tcPr>
            <w:tcW w:w="2340" w:type="dxa"/>
          </w:tcPr>
          <w:p w14:paraId="6C8EDF65" w14:textId="77777777" w:rsidR="007C6AD8" w:rsidRDefault="00000000">
            <w:pPr>
              <w:pStyle w:val="Compact"/>
            </w:pPr>
            <w:r>
              <w:t>Sector-specific climate compliance can be far more mature than cross-cutting AI governance</w:t>
            </w:r>
          </w:p>
        </w:tc>
      </w:tr>
    </w:tbl>
    <w:p w14:paraId="379752AC" w14:textId="77777777" w:rsidR="007C6AD8" w:rsidRDefault="00000000">
      <w:pPr>
        <w:pStyle w:val="BodyText"/>
      </w:pPr>
      <w:r>
        <w:t>This snapshot is intended as a quick-reference companion to the fuller treatment in Part V and Appendix FF, not a replacement for it — use it to orient a first read of the applied material, and the fuller sections for the reasoning and evidence behind each row.</w:t>
      </w:r>
    </w:p>
    <w:p w14:paraId="0125E341" w14:textId="77777777" w:rsidR="008D05F7" w:rsidRDefault="008D05F7">
      <w:pPr>
        <w:pStyle w:val="Heading2"/>
      </w:pPr>
      <w:bookmarkStart w:id="110" w:name="X4c42eb501cbac181ef90f99cd9fe618110c1243"/>
      <w:bookmarkEnd w:id="110"/>
    </w:p>
    <w:sectPr w:rsidR="008D05F7">
      <w:footerReference w:type="even" r:id="rId13"/>
      <w:footerReference w:type="default" r:id="rId14"/>
      <w:footerReference w:type="firs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A72E4" w14:textId="77777777" w:rsidR="00C336F0" w:rsidRDefault="00C336F0">
      <w:pPr>
        <w:spacing w:after="0" w:line="240" w:lineRule="auto"/>
      </w:pPr>
      <w:r>
        <w:separator/>
      </w:r>
    </w:p>
  </w:endnote>
  <w:endnote w:type="continuationSeparator" w:id="0">
    <w:p w14:paraId="42ABAD1D" w14:textId="77777777" w:rsidR="00C336F0" w:rsidRDefault="00C3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23F4" w14:textId="77777777" w:rsidR="008D05F7" w:rsidRDefault="008D0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F61C" w14:textId="77777777" w:rsidR="008D05F7" w:rsidRDefault="008D05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4488" w14:textId="77777777" w:rsidR="008D05F7" w:rsidRDefault="008D0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1A837" w14:textId="77777777" w:rsidR="00C336F0" w:rsidRDefault="00C336F0">
      <w:r>
        <w:separator/>
      </w:r>
    </w:p>
  </w:footnote>
  <w:footnote w:type="continuationSeparator" w:id="0">
    <w:p w14:paraId="0E43DEED" w14:textId="77777777" w:rsidR="00C336F0" w:rsidRDefault="00C33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4244954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BA942FF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47261BAD"/>
    <w:multiLevelType w:val="multilevel"/>
    <w:tmpl w:val="B92A182A"/>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3" w15:restartNumberingAfterBreak="0">
    <w:nsid w:val="71315DCA"/>
    <w:multiLevelType w:val="multilevel"/>
    <w:tmpl w:val="1110171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7AF1484D"/>
    <w:multiLevelType w:val="hybridMultilevel"/>
    <w:tmpl w:val="45B8082A"/>
    <w:lvl w:ilvl="0" w:tplc="92AC58AE">
      <w:start w:val="1"/>
      <w:numFmt w:val="bullet"/>
      <w:lvlText w:val="●"/>
      <w:lvlJc w:val="left"/>
      <w:pPr>
        <w:ind w:left="720" w:hanging="360"/>
      </w:pPr>
    </w:lvl>
    <w:lvl w:ilvl="1" w:tplc="9D96FEE2">
      <w:start w:val="1"/>
      <w:numFmt w:val="bullet"/>
      <w:lvlText w:val="○"/>
      <w:lvlJc w:val="left"/>
      <w:pPr>
        <w:ind w:left="1440" w:hanging="360"/>
      </w:pPr>
    </w:lvl>
    <w:lvl w:ilvl="2" w:tplc="D2E88AF6">
      <w:start w:val="1"/>
      <w:numFmt w:val="bullet"/>
      <w:lvlText w:val="■"/>
      <w:lvlJc w:val="left"/>
      <w:pPr>
        <w:ind w:left="2160" w:hanging="360"/>
      </w:pPr>
    </w:lvl>
    <w:lvl w:ilvl="3" w:tplc="A0B25402">
      <w:start w:val="1"/>
      <w:numFmt w:val="bullet"/>
      <w:lvlText w:val="●"/>
      <w:lvlJc w:val="left"/>
      <w:pPr>
        <w:ind w:left="2880" w:hanging="360"/>
      </w:pPr>
    </w:lvl>
    <w:lvl w:ilvl="4" w:tplc="36BC5960">
      <w:start w:val="1"/>
      <w:numFmt w:val="bullet"/>
      <w:lvlText w:val="○"/>
      <w:lvlJc w:val="left"/>
      <w:pPr>
        <w:ind w:left="3600" w:hanging="360"/>
      </w:pPr>
    </w:lvl>
    <w:lvl w:ilvl="5" w:tplc="225EF89A">
      <w:start w:val="1"/>
      <w:numFmt w:val="bullet"/>
      <w:lvlText w:val="■"/>
      <w:lvlJc w:val="left"/>
      <w:pPr>
        <w:ind w:left="4320" w:hanging="360"/>
      </w:pPr>
    </w:lvl>
    <w:lvl w:ilvl="6" w:tplc="F0C8CCDC">
      <w:start w:val="1"/>
      <w:numFmt w:val="bullet"/>
      <w:lvlText w:val="●"/>
      <w:lvlJc w:val="left"/>
      <w:pPr>
        <w:ind w:left="5040" w:hanging="360"/>
      </w:pPr>
    </w:lvl>
    <w:lvl w:ilvl="7" w:tplc="C2F82256">
      <w:start w:val="1"/>
      <w:numFmt w:val="bullet"/>
      <w:lvlText w:val="●"/>
      <w:lvlJc w:val="left"/>
      <w:pPr>
        <w:ind w:left="5760" w:hanging="360"/>
      </w:pPr>
    </w:lvl>
    <w:lvl w:ilvl="8" w:tplc="B50C09F8">
      <w:start w:val="1"/>
      <w:numFmt w:val="bullet"/>
      <w:lvlText w:val="●"/>
      <w:lvlJc w:val="left"/>
      <w:pPr>
        <w:ind w:left="6480" w:hanging="360"/>
      </w:pPr>
    </w:lvl>
  </w:abstractNum>
  <w:num w:numId="1" w16cid:durableId="344866467">
    <w:abstractNumId w:val="4"/>
    <w:lvlOverride w:ilvl="0">
      <w:startOverride w:val="1"/>
    </w:lvlOverride>
  </w:num>
  <w:num w:numId="2" w16cid:durableId="444151558">
    <w:abstractNumId w:val="1"/>
  </w:num>
  <w:num w:numId="3" w16cid:durableId="1917325446">
    <w:abstractNumId w:val="0"/>
  </w:num>
  <w:num w:numId="4" w16cid:durableId="596601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83695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4129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3765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1112927">
    <w:abstractNumId w:val="2"/>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53602"/>
    <w:rsid w:val="0006224B"/>
    <w:rsid w:val="004E29B3"/>
    <w:rsid w:val="00590D07"/>
    <w:rsid w:val="00784D58"/>
    <w:rsid w:val="007C6AD8"/>
    <w:rsid w:val="008D05F7"/>
    <w:rsid w:val="008D6863"/>
    <w:rsid w:val="00B86B75"/>
    <w:rsid w:val="00BC48D5"/>
    <w:rsid w:val="00C336F0"/>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D8F8"/>
  <w15:docId w15:val="{70A1DCE9-5AF3-48A5-8E89-8BD93399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76" w:lineRule="auto"/>
    </w:pPr>
  </w:style>
  <w:style w:type="paragraph" w:styleId="Heading1">
    <w:name w:val="heading 1"/>
    <w:basedOn w:val="Normal"/>
    <w:next w:val="Normal"/>
    <w:uiPriority w:val="9"/>
    <w:qFormat/>
    <w:pPr>
      <w:keepNext/>
      <w:spacing w:before="400" w:after="160"/>
      <w:outlineLvl w:val="0"/>
    </w:pPr>
    <w:rPr>
      <w:b/>
      <w:bCs/>
      <w:color w:val="1F3864"/>
      <w:sz w:val="34"/>
      <w:szCs w:val="34"/>
    </w:rPr>
  </w:style>
  <w:style w:type="paragraph" w:styleId="Heading2">
    <w:name w:val="heading 2"/>
    <w:basedOn w:val="Normal"/>
    <w:next w:val="Normal"/>
    <w:uiPriority w:val="9"/>
    <w:unhideWhenUsed/>
    <w:qFormat/>
    <w:pPr>
      <w:keepNext/>
      <w:spacing w:before="360" w:after="160"/>
      <w:outlineLvl w:val="1"/>
    </w:pPr>
    <w:rPr>
      <w:b/>
      <w:bCs/>
      <w:color w:val="1F3864"/>
      <w:sz w:val="26"/>
      <w:szCs w:val="26"/>
    </w:rPr>
  </w:style>
  <w:style w:type="paragraph" w:styleId="Heading3">
    <w:name w:val="heading 3"/>
    <w:basedOn w:val="Normal"/>
    <w:next w:val="Normal"/>
    <w:uiPriority w:val="9"/>
    <w:unhideWhenUsed/>
    <w:qFormat/>
    <w:pPr>
      <w:keepNext/>
      <w:spacing w:before="260" w:after="100"/>
      <w:outlineLvl w:val="2"/>
    </w:pPr>
    <w:rPr>
      <w:b/>
      <w:bCs/>
      <w:color w:val="1F3864"/>
      <w:sz w:val="24"/>
      <w:szCs w:val="24"/>
    </w:rPr>
  </w:style>
  <w:style w:type="paragraph" w:styleId="Heading4">
    <w:name w:val="heading 4"/>
    <w:basedOn w:val="Normal"/>
    <w:next w:val="Normal"/>
    <w:uiPriority w:val="9"/>
    <w:semiHidden/>
    <w:unhideWhenUsed/>
    <w:qFormat/>
    <w:pPr>
      <w:outlineLvl w:val="3"/>
    </w:pPr>
    <w:rPr>
      <w:i/>
      <w:iCs/>
      <w:color w:val="1F3864"/>
    </w:rPr>
  </w:style>
  <w:style w:type="paragraph" w:styleId="Heading5">
    <w:name w:val="heading 5"/>
    <w:basedOn w:val="Normal"/>
    <w:next w:val="Normal"/>
    <w:uiPriority w:val="9"/>
    <w:semiHidden/>
    <w:unhideWhenUsed/>
    <w:qFormat/>
    <w:pPr>
      <w:outlineLvl w:val="4"/>
    </w:pPr>
    <w:rPr>
      <w:color w:val="1F3864"/>
    </w:rPr>
  </w:style>
  <w:style w:type="paragraph" w:styleId="Heading6">
    <w:name w:val="heading 6"/>
    <w:basedOn w:val="Normal"/>
    <w:next w:val="Normal"/>
    <w:uiPriority w:val="9"/>
    <w:semiHidden/>
    <w:unhideWhenUsed/>
    <w:qFormat/>
    <w:pPr>
      <w:outlineLvl w:val="5"/>
    </w:pPr>
    <w:rPr>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60"/>
      <w:jc w:val="center"/>
    </w:pPr>
    <w:rPr>
      <w:b/>
      <w:bCs/>
      <w:color w:val="1F3864"/>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paragraph" w:styleId="Caption">
    <w:name w:val="caption"/>
    <w:basedOn w:val="Normal"/>
    <w:next w:val="Normal"/>
    <w:qFormat/>
    <w:pPr>
      <w:spacing w:before="100"/>
    </w:pPr>
    <w:rPr>
      <w:b/>
      <w:bCs/>
      <w:i/>
      <w:iCs/>
      <w:color w:val="1F3864"/>
    </w:rPr>
  </w:style>
  <w:style w:type="paragraph" w:customStyle="1" w:styleId="CaseHeading">
    <w:name w:val="Case Heading"/>
    <w:basedOn w:val="Heading3"/>
    <w:next w:val="CaseBody"/>
    <w:qFormat/>
    <w:pPr>
      <w:pBdr>
        <w:top w:val="single" w:sz="8" w:space="5" w:color="1F3864"/>
        <w:left w:val="single" w:sz="8" w:space="6" w:color="1F3864"/>
        <w:right w:val="single" w:sz="8" w:space="6" w:color="1F3864"/>
      </w:pBdr>
      <w:shd w:val="clear" w:color="auto" w:fill="1F3864"/>
      <w:spacing w:before="300" w:after="0"/>
      <w:ind w:left="96" w:right="96"/>
    </w:pPr>
    <w:rPr>
      <w:color w:val="FFFFFF"/>
    </w:rPr>
  </w:style>
  <w:style w:type="paragraph" w:customStyle="1" w:styleId="CaseBody">
    <w:name w:val="Case Body"/>
    <w:basedOn w:val="Normal"/>
    <w:next w:val="Normal"/>
    <w:qFormat/>
    <w:pPr>
      <w:pBdr>
        <w:left w:val="single" w:sz="8" w:space="6" w:color="1F3864"/>
        <w:bottom w:val="single" w:sz="8" w:space="6" w:color="1F3864"/>
        <w:right w:val="single" w:sz="8" w:space="6" w:color="1F3864"/>
      </w:pBdr>
      <w:shd w:val="clear" w:color="auto" w:fill="F2F5FB"/>
      <w:spacing w:after="220"/>
      <w:ind w:left="96" w:right="96"/>
    </w:pPr>
  </w:style>
  <w:style w:type="paragraph" w:customStyle="1" w:styleId="Compact">
    <w:name w:val="Compact"/>
    <w:basedOn w:val="Normal"/>
    <w:qFormat/>
    <w:pPr>
      <w:spacing w:after="80"/>
    </w:pPr>
  </w:style>
  <w:style w:type="paragraph" w:customStyle="1" w:styleId="FirstParagraph">
    <w:name w:val="First Paragraph"/>
    <w:basedOn w:val="Normal"/>
    <w:qFormat/>
  </w:style>
  <w:style w:type="paragraph" w:styleId="BodyText">
    <w:name w:val="Body Text"/>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link w:val="EndnoteText"/>
    <w:uiPriority w:val="99"/>
    <w:semiHidden/>
    <w:unhideWhenUsed/>
    <w:rPr>
      <w:sz w:val="20"/>
      <w:szCs w:val="20"/>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table" w:customStyle="1" w:styleId="Table">
    <w:name w:val="Table"/>
    <w:tblPr>
      <w:tblCellMar>
        <w:top w:w="40" w:type="dxa"/>
        <w:left w:w="108" w:type="dxa"/>
        <w:bottom w:w="40" w:type="dxa"/>
        <w:right w:w="108" w:type="dxa"/>
      </w:tblCellMar>
    </w:tblPr>
  </w:style>
  <w:style w:type="paragraph" w:styleId="Footer">
    <w:name w:val="footer"/>
    <w:basedOn w:val="Normal"/>
    <w:link w:val="FooterChar"/>
    <w:uiPriority w:val="99"/>
    <w:unhideWhenUsed/>
    <w:rsid w:val="008D05F7"/>
    <w:pPr>
      <w:tabs>
        <w:tab w:val="center" w:pos="4703"/>
        <w:tab w:val="right" w:pos="9406"/>
      </w:tabs>
      <w:spacing w:after="0" w:line="240" w:lineRule="auto"/>
    </w:pPr>
  </w:style>
  <w:style w:type="character" w:customStyle="1" w:styleId="FooterChar">
    <w:name w:val="Footer Char"/>
    <w:basedOn w:val="DefaultParagraphFont"/>
    <w:link w:val="Footer"/>
    <w:uiPriority w:val="99"/>
    <w:rsid w:val="008D0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41</Pages>
  <Words>18654</Words>
  <Characters>112861</Characters>
  <Application>Microsoft Office Word</Application>
  <DocSecurity>0</DocSecurity>
  <Lines>1589</Lines>
  <Paragraphs>574</Paragraphs>
  <ScaleCrop>false</ScaleCrop>
  <Company/>
  <LinksUpToDate>false</LinksUpToDate>
  <CharactersWithSpaces>130941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Hakan GÖRAL</cp:lastModifiedBy>
  <cp:revision>3</cp:revision>
  <dcterms:created xsi:type="dcterms:W3CDTF">2026-07-18T08:26:00Z</dcterms:created>
  <dcterms:modified xsi:type="dcterms:W3CDTF">2026-07-18T09:25:00Z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ff1a8a-89d5-4a8c-b5a7-ac0ac2e7842a_Enabled">
    <vt:lpwstr>true</vt:lpwstr>
  </property>
  <property fmtid="{D5CDD505-2E9C-101B-9397-08002B2CF9AE}" pid="3" name="MSIP_Label_acff1a8a-89d5-4a8c-b5a7-ac0ac2e7842a_SetDate">
    <vt:lpwstr>2026-07-18T09:23:23Z</vt:lpwstr>
  </property>
  <property fmtid="{D5CDD505-2E9C-101B-9397-08002B2CF9AE}" pid="4" name="MSIP_Label_acff1a8a-89d5-4a8c-b5a7-ac0ac2e7842a_Method">
    <vt:lpwstr>Standard</vt:lpwstr>
  </property>
  <property fmtid="{D5CDD505-2E9C-101B-9397-08002B2CF9AE}" pid="5" name="MSIP_Label_acff1a8a-89d5-4a8c-b5a7-ac0ac2e7842a_Name">
    <vt:lpwstr>Genel</vt:lpwstr>
  </property>
  <property fmtid="{D5CDD505-2E9C-101B-9397-08002B2CF9AE}" pid="6" name="MSIP_Label_acff1a8a-89d5-4a8c-b5a7-ac0ac2e7842a_SiteId">
    <vt:lpwstr>f39afd33-db8a-440d-bdb5-343eeee32707</vt:lpwstr>
  </property>
  <property fmtid="{D5CDD505-2E9C-101B-9397-08002B2CF9AE}" pid="7" name="MSIP_Label_acff1a8a-89d5-4a8c-b5a7-ac0ac2e7842a_ActionId">
    <vt:lpwstr>5346636e-b869-411a-932c-04492cf00707</vt:lpwstr>
  </property>
  <property fmtid="{D5CDD505-2E9C-101B-9397-08002B2CF9AE}" pid="8" name="MSIP_Label_acff1a8a-89d5-4a8c-b5a7-ac0ac2e7842a_ContentBits">
    <vt:lpwstr>2</vt:lpwstr>
  </property>
  <property fmtid="{D5CDD505-2E9C-101B-9397-08002B2CF9AE}" pid="9" name="MSIP_Label_acff1a8a-89d5-4a8c-b5a7-ac0ac2e7842a_Tag">
    <vt:lpwstr>10, 3, 0, 1</vt:lpwstr>
  </property>
</Properties>
</file>