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00"/>
        <w:jc w:val="center"/>
      </w:pPr>
      <w:r>
        <w:rPr>
          <w:rFonts w:ascii="Georgia" w:cs="Georgia" w:eastAsia="Georgia" w:hAnsi="Georgia"/>
          <w:b/>
          <w:bCs/>
          <w:color w:val="B08D3D"/>
          <w:sz w:val="24"/>
          <w:szCs w:val="24"/>
        </w:rPr>
        <w:t xml:space="preserve">ADEX 547</w:t>
      </w:r>
    </w:p>
    <w:p>
      <w:pPr>
        <w:spacing w:after="100" w:before="80"/>
        <w:jc w:val="center"/>
      </w:pPr>
      <w:r>
        <w:rPr>
          <w:rFonts w:ascii="Calibri" w:cs="Calibri" w:eastAsia="Calibri" w:hAnsi="Calibri"/>
          <w:color w:val="5A5A5A"/>
          <w:sz w:val="20"/>
          <w:szCs w:val="20"/>
        </w:rPr>
        <w:t xml:space="preserve">Corporate Strategy, Portfolio and Investment Leadership</w:t>
      </w:r>
    </w:p>
    <w:p>
      <w:pPr>
        <w:pBdr>
          <w:top w:val="single" w:color="B08D3D" w:sz="4" w:space="6"/>
          <w:bottom w:val="single" w:color="B08D3D" w:sz="4" w:space="6"/>
        </w:pBdr>
        <w:spacing w:after="60" w:before="120"/>
      </w:pPr>
      <w:r>
        <w:rPr>
          <w:rFonts w:ascii="Georgia" w:cs="Georgia" w:eastAsia="Georgia" w:hAnsi="Georgia"/>
          <w:b/>
          <w:bCs/>
          <w:color w:val="0B1E39"/>
          <w:sz w:val="26"/>
          <w:szCs w:val="26"/>
        </w:rPr>
        <w:t xml:space="preserve">SESSION 5 STUDY GUIDE</w:t>
      </w:r>
    </w:p>
    <w:p>
      <w:pPr>
        <w:spacing w:after="60"/>
      </w:pPr>
      <w:r>
        <w:rPr>
          <w:rFonts w:ascii="Georgia" w:cs="Georgia" w:eastAsia="Georgia" w:hAnsi="Georgia"/>
          <w:b/>
          <w:bCs/>
          <w:color w:val="13294B"/>
          <w:sz w:val="24"/>
          <w:szCs w:val="24"/>
        </w:rPr>
        <w:t xml:space="preserve">ESG Integration, AI Governance and Investment Monitoring</w:t>
      </w:r>
    </w:p>
    <w:p>
      <w:pPr>
        <w:spacing w:after="260"/>
      </w:pPr>
      <w:r>
        <w:rPr>
          <w:rFonts w:ascii="Calibri" w:cs="Calibri" w:eastAsia="Calibri" w:hAnsi="Calibri"/>
          <w:i/>
          <w:iCs/>
          <w:color w:val="5A5A5A"/>
          <w:sz w:val="20"/>
          <w:szCs w:val="20"/>
        </w:rPr>
        <w:t xml:space="preserve">Format: Face-to-face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1. What to Read Before This Session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Session 5 reader on ESG and AI governance will be distributed ahead of the session. Read it with an eye to how it changes the disclosure and monitoring obligations discussed in Sessions 2 and 3.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Selected readings on ESG governance and AI oversight (Session 5 Reader — to be distributed closer to the date).</w:t>
      </w:r>
    </w:p>
    <w:p>
      <w:pPr>
        <w:spacing w:after="140" w:before="40"/>
      </w:pPr>
      <w:r>
        <w:rPr>
          <w:rFonts w:ascii="Calibri" w:cs="Calibri" w:eastAsia="Calibri" w:hAnsi="Calibri"/>
          <w:i/>
          <w:iCs/>
          <w:color w:val="5A5A5A"/>
          <w:sz w:val="20"/>
          <w:szCs w:val="20"/>
        </w:rPr>
        <w:t xml:space="preserve">Key sections to focus on: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ESG reporting frameworks and their relationship to Türkiye Sustainability Reporting Standards (TSRS/KGK).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widening of fiduciary duty and disclosure obligations to non-financial, ESG-related risk.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AI governance risk: model risk, algorithmic decision-making in investment processes, and emerging board oversight expectations.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Investment monitoring: how a board tracks whether a capital allocation decision is delivering as promised, after approval.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Relevant Chapters from the Reference Book List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Do not read these books cover to cover — relevant chapters only.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Ramírez, Selsky &amp; van der Heijden (Eds.), Business Planning for Turbulent Times — relevant chapter(s) only.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2. What Will Happen in Class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Class Schedule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1400"/>
        <w:gridCol w:w="4600"/>
      </w:tblGrid>
      <w:tr>
        <w:trPr>
          <w:tblHeader/>
        </w:trPr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Step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Activity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Framing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~10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ESG and AI governance are connected back to the disclosure and fiduciary-duty frameworks from Sessions 2 and 3, framed as an extension of “who must be told, and who is accountable” rather than a separate topic.</w:t>
            </w:r>
          </w:p>
        </w:tc>
      </w:tr>
      <w:tr>
        <w:tc>
          <w:tcPr>
            <w:tcW w:type="dxa" w:w="7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ESG disclosure mapping</w:t>
            </w:r>
          </w:p>
        </w:tc>
        <w:tc>
          <w:tcPr>
            <w:tcW w:type="dxa" w:w="14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~25 min</w:t>
            </w:r>
          </w:p>
        </w:tc>
        <w:tc>
          <w:tcPr>
            <w:tcW w:type="dxa" w:w="4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Teams map their assigned company's actual ESG disclosures — sustainability report, any TSRS-aligned reporting — against what is required or expected, and flag gaps.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AI governance case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~25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Teams are given a hypothetical AI-based investment or risk-monitoring tool proposal and must list the governance risks a board should raise before adopting it: model risk, data provenance, explainability, and regulatory exposure.</w:t>
            </w:r>
          </w:p>
        </w:tc>
      </w:tr>
      <w:tr>
        <w:tc>
          <w:tcPr>
            <w:tcW w:type="dxa" w:w="7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Monitoring framework design</w:t>
            </w:r>
          </w:p>
        </w:tc>
        <w:tc>
          <w:tcPr>
            <w:tcW w:type="dxa" w:w="14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~25 min</w:t>
            </w:r>
          </w:p>
        </w:tc>
        <w:tc>
          <w:tcPr>
            <w:tcW w:type="dxa" w:w="4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Teams design a simple post-investment monitoring dashboard — three to five key indicators — that a board could use to track whether a past capital allocation decision is performing as promised.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Cross-team share-out and synthesis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~25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Each team presents its monitoring dashboard briefly; common patterns and gaps across the cohort are synthesised.</w:t>
            </w:r>
          </w:p>
        </w:tc>
      </w:tr>
      <w:tr>
        <w:tc>
          <w:tcPr>
            <w:tcW w:type="dxa" w:w="7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Wrap-up, bridge to IW2 and final presentation prep</w:t>
            </w:r>
          </w:p>
        </w:tc>
        <w:tc>
          <w:tcPr>
            <w:tcW w:type="dxa" w:w="14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~10 min</w:t>
            </w:r>
          </w:p>
        </w:tc>
        <w:tc>
          <w:tcPr>
            <w:tcW w:type="dxa" w:w="4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IW2 is introduced, and teams are reminded that Session 6 preparation should begin now, not after this session ends.</w:t>
            </w:r>
          </w:p>
        </w:tc>
      </w:tr>
      <w:tr>
        <w:tc>
          <w:tcPr>
            <w:gridSpan w:val="2"/>
            <w:shd w:fill="13294B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gridSpan w:val="2"/>
            <w:shd w:fill="13294B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D9C48A"/>
                <w:sz w:val="19"/>
                <w:szCs w:val="19"/>
              </w:rPr>
              <w:t xml:space="preserve">2 hours (120 minutes), no breaks</w:t>
            </w:r>
          </w:p>
        </w:tc>
      </w:tr>
    </w:tbl>
    <w:p>
      <w:pPr>
        <w:spacing w:after="60" w:before="16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Step-by-Step Detail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1. Framing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(~10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ESG and AI governance are connected back to the disclosure and fiduciary-duty frameworks from Sessions 2 and 3, framed as an extension of “who must be told, and who is accountable” rather than a separate topic.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2. ESG disclosure mapping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(~25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Teams map their assigned company's actual ESG disclosures — sustainability report, any TSRS-aligned reporting — against what is required or expected, and flag gaps.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3. AI governance case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(~25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Teams are given a hypothetical AI-based investment or risk-monitoring tool proposal and must list the governance risks a board should raise before adopting it: model risk, data provenance, explainability, and regulatory exposure.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4. Monitoring framework design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(~25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Teams design a simple post-investment monitoring dashboard — three to five key indicators — that a board could use to track whether a past capital allocation decision is performing as promised.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5. Cross-team share-out and synthesis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(~25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Each team presents its monitoring dashboard briefly; common patterns and gaps across the cohort are synthesised.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6. Wrap-up, bridge to IW2 and final presentation prep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(~10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IW2 is introduced, and teams are reminded that Session 6 preparation should begin now, not after this session ends.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3. Previously Assigned Work Due This Session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700"/>
            <w:tcBorders>
              <w:top w:val="single" w:color="B08D3D" w:sz="4"/>
              <w:left w:val="single" w:color="B08D3D" w:sz="16"/>
              <w:bottom w:val="single" w:color="B08D3D" w:sz="4"/>
              <w:right w:val="single" w:color="B08D3D" w:sz="4"/>
            </w:tcBorders>
            <w:shd w:fill="F5F1E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0B1E39"/>
                <w:sz w:val="22"/>
                <w:szCs w:val="22"/>
              </w:rPr>
              <w:t xml:space="preserve">IW1 — Strategic Investment &amp; M&amp;A Governance Memo (Individual Work, 22%)</w:t>
            </w:r>
          </w:p>
          <w:p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Due at the start of this session, one document per student.</w:t>
            </w:r>
          </w:p>
        </w:tc>
      </w:tr>
    </w:tbl>
    <w:p>
      <w:pPr>
        <w:spacing w:before="240"/>
      </w:pP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4. Assignment(s) Given This Session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700"/>
            <w:tcBorders>
              <w:top w:val="single" w:color="13294B" w:sz="4"/>
              <w:left w:val="single" w:color="13294B" w:sz="16"/>
              <w:bottom w:val="single" w:color="13294B" w:sz="4"/>
              <w:right w:val="single" w:color="13294B" w:sz="4"/>
            </w:tcBorders>
            <w:shd w:fill="F5F1E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0B1E39"/>
                <w:sz w:val="22"/>
                <w:szCs w:val="22"/>
              </w:rPr>
              <w:t xml:space="preserve">IW2 — Executive Governance &amp; Investment Reflection Paper</w:t>
            </w:r>
          </w:p>
          <w:p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Individual Work, 18% of final grade. Due within one week after Session 6 (exact date to be confirmed).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Purpose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To reflect individually on what the course as a whole has changed in how you think about corporate strategy, governance, and investment decision-making.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Scope and Expectations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This paper is reflective, not another research memo: it should be grounded in specific moments from this course, in the first person, rather than a general essay on corporate governance. A paper that could have been written without taking this course does not meet the assignment's scope.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Where to Find Information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Your own notes and materials from Sessions 1–6 — readings, feedback received on GW1/GW2/IW1, guest executive remarks, and CEO panel feedback.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No new external research is expected or required for this paper; it draws on your own experience of the course, not new evidence-gathering.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to Process What You Find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Review your own session notes and past submissions (GW1, GW2, IW1) in order, from Session 1 through Session 6.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Identify two or three specific moments — a reading, a guest executive exchange, a simulation, CEO panel feedback — that changed or sharpened your thinking.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For each moment, write what you believed before, what changed, and what specific evidence or argument moved you.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Connect at least one of these moments to a decision or governance question in your own professional context, if appropriate to share, or to your team's case-study company if not.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Conclude with one open question you are still unresolved about, and explain why it remains open for you.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Expected Section Titles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deliverable is expected to be organised under exactly these headings, in this order:</w:t>
      </w:r>
    </w:p>
    <w:p>
      <w:pPr>
        <w:spacing w:after="130"/>
      </w:pPr>
      <w:r>
        <w:rPr>
          <w:rFonts w:ascii="Calibri" w:cs="Calibri" w:eastAsia="Calibri" w:hAnsi="Calibri"/>
          <w:i/>
          <w:iCs/>
          <w:color w:val="13294B"/>
          <w:sz w:val="20"/>
          <w:szCs w:val="20"/>
        </w:rPr>
        <w:t xml:space="preserve">1. Introduction   →   2. Moments That Changed My Thinking   →   3. Connection to Professional or Case Context   →   4. Open Question   →   5. Conclusion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Format and Length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Maximum 10 pages (working target 1500–2000 words). Individual submission, one document per student, written in the first person.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This Will Be Graded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500"/>
      </w:tblGrid>
      <w:tr>
        <w:tc>
          <w:tcPr>
            <w:tcW w:type="dxa" w:w="62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35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Weight within this grade</w:t>
            </w:r>
          </w:p>
        </w:tc>
      </w:tr>
      <w:tr>
        <w:tc>
          <w:tcPr>
            <w:tcW w:type="dxa" w:w="62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Specificity and depth of reflection (not generic statements)</w:t>
            </w:r>
          </w:p>
        </w:tc>
        <w:tc>
          <w:tcPr>
            <w:tcW w:type="dxa" w:w="35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40%</w:t>
            </w:r>
          </w:p>
        </w:tc>
      </w:tr>
      <w:tr>
        <w:tc>
          <w:tcPr>
            <w:tcW w:type="dxa" w:w="62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Clear “before/after” articulation for each moment discussed</w:t>
            </w:r>
          </w:p>
        </w:tc>
        <w:tc>
          <w:tcPr>
            <w:tcW w:type="dxa" w:w="35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30%</w:t>
            </w:r>
          </w:p>
        </w:tc>
      </w:tr>
      <w:tr>
        <w:tc>
          <w:tcPr>
            <w:tcW w:type="dxa" w:w="62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Connection to own professional or case-study context</w:t>
            </w:r>
          </w:p>
        </w:tc>
        <w:tc>
          <w:tcPr>
            <w:tcW w:type="dxa" w:w="35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62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Clarity of writing and structure</w:t>
            </w:r>
          </w:p>
        </w:tc>
        <w:tc>
          <w:tcPr>
            <w:tcW w:type="dxa" w:w="35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10%</w:t>
            </w:r>
          </w:p>
        </w:tc>
      </w:tr>
    </w:tbl>
    <w:p>
      <w:pPr>
        <w:spacing w:after="100" w:before="100"/>
      </w:pP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700"/>
            <w:tcBorders>
              <w:top w:val="single" w:color="13294B" w:sz="4"/>
              <w:left w:val="single" w:color="13294B" w:sz="16"/>
              <w:bottom w:val="single" w:color="13294B" w:sz="4"/>
              <w:right w:val="single" w:color="13294B" w:sz="4"/>
            </w:tcBorders>
            <w:shd w:fill="F5F1E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0B1E39"/>
                <w:sz w:val="22"/>
                <w:szCs w:val="22"/>
              </w:rPr>
              <w:t xml:space="preserve">Final Board-Level Portfolio &amp; Investment Strategy Presentation — consolidation begins now</w:t>
            </w:r>
          </w:p>
          <w:p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Group Work, 30% of final grade. Delivered live at the start of Session 6.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Purpose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This is the moment to formally begin consolidating GW1, GW2, and the team's individual IW1 memos into a single board-level recommendation. The presentation itself is delivered in Session 6, but building it starting today — rather than after this session — is part of what is expected of you.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Scope and Expectations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final presentation is a synthesis, not a re-presentation of earlier deliverables side by side: it must resolve any tension between GW1's diagnostic and GW2's activist case into one coherent, defensible recommendation, incorporating today's ESG/AI workshop findings.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Where to Find Information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team's own GW1, GW2, and all members' IW1 submissions.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Today's ESG disclosure mapping and AI governance case output.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 final check of KAP and the company's investor relations page for any material disclosure since GW1 was submitted.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to Process What You Find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As a team, agree on the single headline recommendation the presentation will argue for — do this today, while Session 5's discussion is still fresh.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Assign drafting responsibility for each of the six expected sections (see titles below) to specific team members.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Set an internal team deadline, well before Session 6, for a full run-through.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Expected Section Titles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deliverable is expected to be organised under exactly these headings, in this order:</w:t>
      </w:r>
    </w:p>
    <w:p>
      <w:pPr>
        <w:spacing w:after="130"/>
      </w:pPr>
      <w:r>
        <w:rPr>
          <w:rFonts w:ascii="Calibri" w:cs="Calibri" w:eastAsia="Calibri" w:hAnsi="Calibri"/>
          <w:i/>
          <w:iCs/>
          <w:color w:val="13294B"/>
          <w:sz w:val="20"/>
          <w:szCs w:val="20"/>
        </w:rPr>
        <w:t xml:space="preserve">1. Executive Summary   →   2. Portfolio Diagnostic Recap   →   3. Governance &amp; Disclosure Assessment   →   4. Activist / Market-Pressure Lens   →   5. ESG &amp; AI Considerations   →   6. Final Recommendation &amp; Defense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Format and Length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Maximum 10 slides (or page-equivalent), for a 15–20 minute live presentation delivered in Session 6.</w:t>
      </w:r>
    </w:p>
    <w:p>
      <w:pPr>
        <w:spacing w:before="260"/>
      </w:pP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5. What Is Expected From You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Submit IW1 at the start of this session.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Read the Session 5 materials as soon as they are distributed — there is less runway before Session 6 than for earlier sessions.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Use the ESG/AI workshop to identify material issues your team should fold into the final board-level presentation, not just as a standalone exercise.</w:t>
      </w:r>
    </w:p>
    <w:p>
      <w:pPr>
        <w:pStyle w:val="ListParagraph"/>
        <w:numPr>
          <w:ilvl w:val="0"/>
          <w:numId w:val="4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Treat the Final Presentation as formally assigned today, not as something to start thinking about only after this session — agree your team's headline recommendation before you leave.</w:t>
      </w:r>
    </w:p>
    <w:sectPr>
      <w:headerReference w:type="default" r:id="rId7"/>
      <w:footerReference w:type="default" r:id="rId8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5A5A"/>
        <w:sz w:val="16"/>
        <w:szCs w:val="16"/>
      </w:rPr>
      <w:t xml:space="preserve">Page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A5A5A"/>
        <w:sz w:val="16"/>
        <w:szCs w:val="16"/>
      </w:rPr>
      <w:t xml:space="preserve"> of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C48A" w:sz="4" w:space="4"/>
      </w:pBdr>
      <w:jc w:val="right"/>
    </w:pPr>
    <w:r>
      <w:rPr>
        <w:rFonts w:ascii="Calibri" w:cs="Calibri" w:eastAsia="Calibri" w:hAnsi="Calibri"/>
        <w:color w:val="5A5A5A"/>
        <w:sz w:val="16"/>
        <w:szCs w:val="16"/>
      </w:rPr>
      <w:t xml:space="preserve">ADEX 547 · Session Study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2026-07-15T20:01:42.792Z</dcterms:created>
  <dcterms:modified xsi:type="dcterms:W3CDTF">2026-07-15T20:01:42.792Z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