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CDB6" w14:textId="77777777" w:rsidR="000A2EB2" w:rsidRDefault="00000000">
      <w:pPr>
        <w:spacing w:before="1200" w:after="100"/>
        <w:jc w:val="center"/>
      </w:pPr>
      <w:r>
        <w:rPr>
          <w:b/>
          <w:bCs/>
          <w:sz w:val="28"/>
          <w:szCs w:val="28"/>
        </w:rPr>
        <w:t>ADEX547  Specail Topics in Organisation and Strategy</w:t>
      </w:r>
    </w:p>
    <w:p w14:paraId="206B8DDE" w14:textId="77777777" w:rsidR="000A2EB2" w:rsidRDefault="00000000">
      <w:pPr>
        <w:spacing w:after="400"/>
        <w:jc w:val="center"/>
      </w:pPr>
      <w:r>
        <w:rPr>
          <w:color w:val="555555"/>
          <w:sz w:val="24"/>
          <w:szCs w:val="24"/>
        </w:rPr>
        <w:t>Boğaziçi University — Executive MBA</w:t>
      </w:r>
    </w:p>
    <w:p w14:paraId="592E53D1" w14:textId="77777777" w:rsidR="000A2EB2" w:rsidRDefault="00000000">
      <w:pPr>
        <w:spacing w:after="200"/>
        <w:jc w:val="center"/>
      </w:pPr>
      <w:r>
        <w:rPr>
          <w:b/>
          <w:bCs/>
          <w:sz w:val="40"/>
          <w:szCs w:val="40"/>
        </w:rPr>
        <w:t>Week 4 Course Reader</w:t>
      </w:r>
    </w:p>
    <w:p w14:paraId="61524E6B" w14:textId="77777777" w:rsidR="000A2EB2" w:rsidRDefault="00000000">
      <w:pPr>
        <w:spacing w:after="200"/>
        <w:jc w:val="center"/>
      </w:pPr>
      <w:r>
        <w:rPr>
          <w:b/>
          <w:bCs/>
          <w:color w:val="1F4E79"/>
          <w:sz w:val="32"/>
          <w:szCs w:val="32"/>
        </w:rPr>
        <w:t>Executive Dialogue: Shareholder Activism</w:t>
      </w:r>
    </w:p>
    <w:p w14:paraId="2D974261" w14:textId="77777777" w:rsidR="000A2EB2" w:rsidRDefault="00000000">
      <w:pPr>
        <w:spacing w:after="400"/>
        <w:jc w:val="center"/>
      </w:pPr>
      <w:r>
        <w:rPr>
          <w:i/>
          <w:iCs/>
          <w:sz w:val="24"/>
          <w:szCs w:val="24"/>
        </w:rPr>
        <w:t>Activist Campaign Mechanics, M&amp;A-Driven Activism, Board Seat Contests, and Defense Tactics</w:t>
      </w:r>
    </w:p>
    <w:p w14:paraId="1EDA3F1C" w14:textId="77777777" w:rsidR="000A2EB2" w:rsidRDefault="00000000">
      <w:pPr>
        <w:spacing w:after="100"/>
        <w:jc w:val="center"/>
      </w:pPr>
      <w:r>
        <w:t>2026 Edition</w:t>
      </w:r>
    </w:p>
    <w:p w14:paraId="35B3CDAB" w14:textId="77777777" w:rsidR="000A2EB2" w:rsidRDefault="00000000">
      <w:pPr>
        <w:spacing w:before="1000"/>
        <w:jc w:val="center"/>
      </w:pPr>
      <w:r>
        <w:t>Instructor: Hakan Göral</w:t>
      </w:r>
    </w:p>
    <w:p w14:paraId="4DE5F150" w14:textId="77777777" w:rsidR="000A2EB2" w:rsidRDefault="00000000">
      <w:pPr>
        <w:spacing w:after="100"/>
        <w:jc w:val="center"/>
      </w:pPr>
      <w:r>
        <w:t>Prepared: July 2026</w:t>
      </w:r>
    </w:p>
    <w:p w14:paraId="09675BE3" w14:textId="77777777" w:rsidR="000A2EB2" w:rsidRDefault="00000000">
      <w:r>
        <w:br w:type="page"/>
      </w:r>
    </w:p>
    <w:p w14:paraId="5D3CD46D" w14:textId="77777777" w:rsidR="000A2EB2" w:rsidRDefault="00000000">
      <w:pPr>
        <w:pStyle w:val="Heading1"/>
        <w:spacing w:before="360" w:after="180"/>
      </w:pPr>
      <w:r>
        <w:lastRenderedPageBreak/>
        <w:t>Overview and Learning Objectives</w:t>
      </w:r>
    </w:p>
    <w:p w14:paraId="01AE45F3" w14:textId="77777777" w:rsidR="000A2EB2" w:rsidRDefault="00000000">
      <w:pPr>
        <w:spacing w:after="160"/>
      </w:pPr>
      <w:r>
        <w:t>Week 4 turns from portfolio strategy to the external discipline exerted on management by outside shareholders. Shareholder (hedge fund) activism has become one of the dominant forces shaping capital allocation, M&amp;A, and board composition at large public companies worldwide. Building on the theory of the firm and governance material introduced earlier in the course, this week asks: when does activist intervention create value, when does it destroy it, and how should boards and management teams respond strategically rather than reflexively?</w:t>
      </w:r>
    </w:p>
    <w:p w14:paraId="15BE216B" w14:textId="77777777" w:rsidR="000A2EB2" w:rsidRDefault="00000000">
      <w:pPr>
        <w:spacing w:after="160"/>
      </w:pPr>
      <w:r>
        <w:t>By the end of this session, participants should be able to: (1) describe the mechanics of a hedge fund activist campaign from stake-building to settlement or proxy fight; (2) apply the academic evidence on activism outcomes to assess whether a given campaign is likely to be value-creating; (3) evaluate the strategic logic and risks of M&amp;A-driven activism, including break-up and spin-off demands; (4) analyze board-seat contests and the calculus each side faces; (5) compare defense tactics — poison pills, staggered boards, advance notice bylaws — on effectiveness and legitimacy grounds; and (6) apply this apparatus to the distinct ownership context of Turkish holding companies, where concentrated family and state control changes the activism calculus fundamentally.</w:t>
      </w:r>
    </w:p>
    <w:p w14:paraId="3A14CACF" w14:textId="77777777" w:rsidR="000A2EB2" w:rsidRDefault="00000000">
      <w:pPr>
        <w:pStyle w:val="Heading1"/>
        <w:spacing w:before="360" w:after="180"/>
      </w:pPr>
      <w:r>
        <w:t>Part I — The Anatomy of a Hedge Fund Activist Campaign</w:t>
      </w:r>
    </w:p>
    <w:p w14:paraId="4AB535E0" w14:textId="77777777" w:rsidR="000A2EB2" w:rsidRDefault="00000000">
      <w:pPr>
        <w:pStyle w:val="Heading2"/>
        <w:spacing w:before="260"/>
      </w:pPr>
      <w:r>
        <w:t>1.1 Who activists are and what they want</w:t>
      </w:r>
    </w:p>
    <w:p w14:paraId="24E0A194" w14:textId="77777777" w:rsidR="000A2EB2" w:rsidRDefault="00000000">
      <w:pPr>
        <w:spacing w:after="160"/>
      </w:pPr>
      <w:r>
        <w:t>Modern shareholder activists are specialized investment funds — Elliott Investment Management, Starboard Value, Third Point, Trian Partners, Icahn Enterprises, Engine Capital, and dozens of smaller and sector-focused funds — that take meaningful minority stakes in public companies (commonly 1%–10%) and then use the tools of corporate governance, rather than control acquisition, to force strategic or operational change. Unlike traditional value investors who buy and hold passively, activists intervene: they write public letters, nominate director candidates, propose recapitalizations, demand asset sales or spin-offs, and, when negotiation fails, run proxy contests to replace incumbent boards.</w:t>
      </w:r>
    </w:p>
    <w:p w14:paraId="58A35E04" w14:textId="77777777" w:rsidR="000A2EB2" w:rsidRDefault="00000000">
      <w:pPr>
        <w:spacing w:after="160"/>
      </w:pPr>
      <w:r>
        <w:t>The campaign typically follows a repeatable sequence: (i) quiet stake accumulation, often through derivatives and 13D-exempt structures to avoid tipping off the market; (ii) a private approach to management and the board, laying out a thesis; (iii) if rebuffed, a public letter or white paper articulating the thesis, sometimes with an accompanying investor presentation; (iv) nomination of dissident director candidates ahead of the advance-notice deadline; (v) a settlement negotiation, frequently resulting in board seats, share buybacks, or a strategic review, without a shareholder vote; and (vi) if settlement fails, a full proxy contest decided at the annual meeting, with proxy advisory firms (ISS, Glass Lewis) playing a decisive intermediary role.</w:t>
      </w:r>
    </w:p>
    <w:p w14:paraId="0E5AA296" w14:textId="77777777" w:rsidR="000A2EB2" w:rsidRDefault="00000000">
      <w:pPr>
        <w:pStyle w:val="Heading2"/>
        <w:spacing w:before="260"/>
      </w:pPr>
      <w:r>
        <w:t>1.2 Do activist campaigns create value? The academic evidence</w:t>
      </w:r>
    </w:p>
    <w:p w14:paraId="461C13E2" w14:textId="77777777" w:rsidR="000A2EB2" w:rsidRDefault="00000000">
      <w:pPr>
        <w:spacing w:after="160"/>
      </w:pPr>
      <w:r>
        <w:t xml:space="preserve">The foundational large-sample study is Brav, Jiang, Partnoy &amp; Thomas (2008), "Hedge Fund Activism, Corporate Governance, and Firm Performance," published in the Journal of Finance. Using a hand-collected sample of roughly 1,000 Schedule 13D activist filings between 2001 and 2006, the authors document abnormal announcement returns of approximately 7% around the initial activist filing, with no reversal over </w:t>
      </w:r>
      <w:r>
        <w:lastRenderedPageBreak/>
        <w:t>the subsequent year — evidence inconsistent with a purely short-term, pump-and-dump interpretation. They find activist targets subsequently show improved payout policy, higher CEO turnover, and, in some specifications, improved operating performance, though the operating-performance results are less uniformly robust than the announcement-return results. Brav et al. is the anchor citation for the pro-activism position: the market interprets activist involvement as a credible, positive signal about a latent value-creation opportunity.</w:t>
      </w:r>
    </w:p>
    <w:p w14:paraId="3E339234" w14:textId="77777777" w:rsidR="000A2EB2" w:rsidRDefault="00000000">
      <w:pPr>
        <w:spacing w:after="160"/>
      </w:pPr>
      <w:r>
        <w:t>A necessary complement is Gantchev (2013), "The Costs of Shareholder Activism: Evidence from a Sequential Decision Model," in the Journal of Financial Economics. Gantchev models the activist campaign as a sequential decision — whether to escalate from private engagement to public letter to proxy fight — and estimates that the total cost of a proxy contest, including legal, proxy solicitation and advisory fees, averages roughly $10.7 million per campaign that goes the distance, a cost that erodes a substantial share of the gross abnormal returns activists otherwise capture. Escalation is costly and activists appear to internalize this: campaigns that reach a full proxy vote are a minority of the total, precisely because escalation costs discipline the decision to fight rather than settle. Gantchev's paper is essential because it reframes activism from a costless discipline mechanism into a resource-constrained contest whose net social value depends on how the costs are distributed between activists, targets, and other shareholders.</w:t>
      </w:r>
    </w:p>
    <w:p w14:paraId="5B7CAB35" w14:textId="77777777" w:rsidR="000A2EB2" w:rsidRDefault="00000000">
      <w:pPr>
        <w:pStyle w:val="Heading2"/>
        <w:spacing w:before="260"/>
      </w:pPr>
      <w:r>
        <w:t>1.3 Why doesn't every shareholder do this? The free-rider problem</w:t>
      </w:r>
    </w:p>
    <w:p w14:paraId="58C0F3AF" w14:textId="77777777" w:rsidR="000A2EB2" w:rsidRDefault="00000000">
      <w:pPr>
        <w:spacing w:after="160"/>
      </w:pPr>
      <w:r>
        <w:t>The deeper theoretical question is why active monitoring is undersupplied in dispersed-ownership markets in the first place. Grossman &amp; Hart (1980), in their classic analysis of the free-rider problem in corporate takeovers, show that when ownership is atomized, no individual small shareholder has the incentive to bear the cost of monitoring or disciplining management, because the resulting gains (a higher share price) accrue to all shareholders pro rata, including those who did nothing. A rational shareholder holds out for the post-improvement price rather than tendering into a value-creating but underpriced offer, which under-incentivizes the very takeover or monitoring activity that would benefit everyone. Grossman &amp; Hart's insight, developed originally for takeover bids, generalizes directly to activism: hedge fund activists exist precisely because they concentrate enough of a stake (and enough of a fee-based incentive, given their own limited-partner structures) to internalize a large enough share of the monitoring gain to make intervention privately profitable, solving — imperfectly — the collective-action problem that dispersed shareholders cannot solve on their own. This is the theoretical foundation for why activism is functionally a specialized, concentrated-stake industry rather than something diffuse shareholders do routinely themselves.</w:t>
      </w:r>
    </w:p>
    <w:p w14:paraId="7D515BD5" w14:textId="77777777" w:rsidR="000A2EB2" w:rsidRDefault="00000000">
      <w:pPr>
        <w:pStyle w:val="Heading2"/>
        <w:spacing w:before="260"/>
      </w:pPr>
      <w:r>
        <w:t>EVIDENCE FROM THE FIELD — the theory in one line</w:t>
      </w:r>
    </w:p>
    <w:p w14:paraId="353D03B9" w14:textId="77777777" w:rsidR="000A2EB2" w:rsidRDefault="00000000">
      <w:pPr>
        <w:spacing w:after="160"/>
      </w:pPr>
      <w:r>
        <w:rPr>
          <w:i/>
          <w:iCs/>
        </w:rPr>
        <w:t>"Activism is the private solution to a free-rider problem that dispersed ownership creates, and it is costly enough (Gantchev, 2013) that only concentrated, fee-motivated capital pursues it — which is exactly why family- and state-controlled firms, where the free-rider problem does not exist to begin with, see so little of it."</w:t>
      </w:r>
    </w:p>
    <w:p w14:paraId="00C4A81A" w14:textId="77777777" w:rsidR="000A2EB2" w:rsidRDefault="00000000">
      <w:r>
        <w:br w:type="page"/>
      </w:r>
    </w:p>
    <w:p w14:paraId="1371A366" w14:textId="77777777" w:rsidR="000A2EB2" w:rsidRDefault="00000000">
      <w:pPr>
        <w:pStyle w:val="Heading1"/>
        <w:spacing w:before="360" w:after="180"/>
      </w:pPr>
      <w:r>
        <w:lastRenderedPageBreak/>
        <w:t>Part II — M&amp;A-Driven Activism and the 2026 Wave</w:t>
      </w:r>
    </w:p>
    <w:p w14:paraId="09962B25" w14:textId="77777777" w:rsidR="000A2EB2" w:rsidRDefault="00000000">
      <w:pPr>
        <w:pStyle w:val="Heading2"/>
        <w:spacing w:before="260"/>
      </w:pPr>
      <w:r>
        <w:t>2.1 From governance reform to M&amp;A demands</w:t>
      </w:r>
    </w:p>
    <w:p w14:paraId="6101D410" w14:textId="77777777" w:rsidR="000A2EB2" w:rsidRDefault="00000000">
      <w:pPr>
        <w:spacing w:after="160"/>
      </w:pPr>
      <w:r>
        <w:t>Activism has historically clustered around three demand types: governance reform (board declassification, removal of dual-class structures, executive compensation), capital allocation (buybacks, special dividends, leverage), and strategic/M&amp;A demands (divestitures, spin-offs, sale of the company, blocking or forcing a merger). The defining shift of the 2025–2026 cycle is the move of M&amp;A-related demands from a secondary tactic to the leading demand category, reflecting both a large accumulated pipeline of conglomerate discounts and activists' growing sophistication in using break-up theses (sum-of-the-parts valuation arguments) as the primary lever, rather than governance housekeeping.</w:t>
      </w:r>
    </w:p>
    <w:p w14:paraId="1E31530D" w14:textId="77777777" w:rsidR="000A2EB2" w:rsidRDefault="00000000">
      <w:pPr>
        <w:pStyle w:val="Heading2"/>
        <w:spacing w:before="260"/>
      </w:pPr>
      <w:r>
        <w:t>2.2 Verified H1 2026 data: the busiest six months on record</w:t>
      </w:r>
    </w:p>
    <w:p w14:paraId="654BE4CD" w14:textId="77777777" w:rsidR="000A2EB2" w:rsidRDefault="00000000">
      <w:pPr>
        <w:spacing w:after="160"/>
      </w:pPr>
      <w:r>
        <w:t>Two independent, contemporaneous datasets confirm that H1 2026 was the busiest six-month period on record for shareholder activism, though they measure different universes and are not directly comparable to one another; both are cited here with their scope made explicit.</w:t>
      </w:r>
    </w:p>
    <w:p w14:paraId="2B956677" w14:textId="77777777" w:rsidR="000A2EB2" w:rsidRDefault="00000000">
      <w:pPr>
        <w:pStyle w:val="ListParagraph"/>
        <w:numPr>
          <w:ilvl w:val="0"/>
          <w:numId w:val="1"/>
        </w:numPr>
        <w:spacing w:after="100"/>
      </w:pPr>
      <w:r>
        <w:t>U.S.-focused dataset (widely cited in financial press coverage of H1 2026, drawing on Barclays' Shareholder Advisory Group / Diligent Market Intelligence-style campaign tracking): 84 activist campaigns launched in H1 2026, up approximately 12% from 75 campaigns in H1 2025. M&amp;A-related demands appeared in 39 of the 84 campaigns (46%), more than double the 19 campaigns (25%) a year earlier, overtaking governance reform as the leading demand category. Activists won 25 board seats across 15 companies in H1 2026, down from 31 seats across 19 companies in H1 2025; the campaign-level success rate fell from roughly 27% to roughly 17% even as gross campaign volume rose, implying boards are contesting harder and settling less readily. Elliott Investment Management ran the most campaigns of any activist (6, double the 3 it ran a year earlier). Technology was the most targeted sector, drawing approximately 21% of campaigns, up from approximately 12% a year earlier.</w:t>
      </w:r>
    </w:p>
    <w:p w14:paraId="1D889C7A" w14:textId="77777777" w:rsidR="000A2EB2" w:rsidRDefault="00000000">
      <w:pPr>
        <w:pStyle w:val="ListParagraph"/>
        <w:numPr>
          <w:ilvl w:val="0"/>
          <w:numId w:val="1"/>
        </w:numPr>
        <w:spacing w:after="100"/>
      </w:pPr>
      <w:r>
        <w:t>Global dataset (Lazard, "Review of Shareholder Activism — H1 2026," published 1 July 2026): 184 new activist campaigns globally, up 20% year-over-year and 38% above the trailing five-year H1 average — Lazard's own framing of H1 2026 as "the busiest six-month period on record." By region: North America 94 campaigns (a record, +19% year-over-year); Europe 23 campaigns (–23% year-over-year, with the U.K. and Italy the most targeted markets); APAC 65 campaigns (more than double the historical average, driven by a record 52 campaigns in Japan, +53% year-over-year). By objective, M&amp;A and board-change demands were the leading objectives, present in 40% and 35% of global campaigns respectively (both elevated versus historical norms), with capital-allocation demands (39% of campaigns, driven heavily by Japan) and strategy/AI-related demands (23% of campaigns, and 46% of Technology-sector campaigns specifically) also elevated.</w:t>
      </w:r>
    </w:p>
    <w:p w14:paraId="1CE7C578" w14:textId="77777777" w:rsidR="000A2EB2" w:rsidRDefault="00000000">
      <w:pPr>
        <w:spacing w:before="60" w:after="240"/>
      </w:pPr>
      <w:r>
        <w:rPr>
          <w:i/>
          <w:iCs/>
          <w:color w:val="555555"/>
          <w:sz w:val="20"/>
          <w:szCs w:val="20"/>
        </w:rPr>
        <w:t xml:space="preserve">Sourcing note: the U.S.-oriented 84/75/39/19/25-seat/17% figures are drawn from financial-press syndication of bank/data-provider activism trackers (see References — Web Sources for wire-service coverage dated 1 July 2026); the Lazard 184-campaign global figure was independently verified by direct retrieval of Lazard's published H1 2026 report page. Both datasets agree directionally — record campaign volume, M&amp;A ascendant as the leading demand, technology as a top-targeted sector — but differ in scope (U.S.-only vs. global) and exact figures, which is expected given different data vendors, campaign-counting methodologies, and reporting windows. Instructors should treat the </w:t>
      </w:r>
      <w:r>
        <w:rPr>
          <w:i/>
          <w:iCs/>
          <w:color w:val="555555"/>
          <w:sz w:val="20"/>
          <w:szCs w:val="20"/>
        </w:rPr>
        <w:lastRenderedPageBreak/>
        <w:t>84-campaign figure as the best available U.S.-specific estimate and the 184-campaign figure as the verified global benchmark; neither should be quoted as the other's number.</w:t>
      </w:r>
    </w:p>
    <w:p w14:paraId="028F5B92" w14:textId="77777777" w:rsidR="000A2EB2" w:rsidRDefault="00000000">
      <w:pPr>
        <w:pStyle w:val="Heading3"/>
        <w:spacing w:before="200" w:after="100"/>
      </w:pPr>
      <w:r>
        <w:t>Table 1 — H1 2026 vs. H1 2025 U.S. Shareholder Activism Metrics</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16"/>
        <w:gridCol w:w="1869"/>
        <w:gridCol w:w="2056"/>
        <w:gridCol w:w="3179"/>
      </w:tblGrid>
      <w:tr w:rsidR="000A2EB2" w14:paraId="164E64C5" w14:textId="77777777">
        <w:tblPrEx>
          <w:tblCellMar>
            <w:top w:w="0" w:type="dxa"/>
            <w:bottom w:w="0" w:type="dxa"/>
          </w:tblCellMar>
        </w:tblPrEx>
        <w:trPr>
          <w:tblHeader/>
        </w:trPr>
        <w:tc>
          <w:tcPr>
            <w:tcW w:w="2616" w:type="dxa"/>
            <w:shd w:val="clear" w:color="auto" w:fill="D9E2F3"/>
            <w:tcMar>
              <w:top w:w="80" w:type="dxa"/>
              <w:left w:w="100" w:type="dxa"/>
              <w:bottom w:w="80" w:type="dxa"/>
              <w:right w:w="100" w:type="dxa"/>
            </w:tcMar>
            <w:vAlign w:val="center"/>
          </w:tcPr>
          <w:p w14:paraId="50B8B4BF" w14:textId="77777777" w:rsidR="000A2EB2" w:rsidRDefault="00000000">
            <w:r>
              <w:rPr>
                <w:b/>
                <w:bCs/>
                <w:sz w:val="20"/>
                <w:szCs w:val="20"/>
              </w:rPr>
              <w:t>Metric</w:t>
            </w:r>
          </w:p>
        </w:tc>
        <w:tc>
          <w:tcPr>
            <w:tcW w:w="1869" w:type="dxa"/>
            <w:shd w:val="clear" w:color="auto" w:fill="D9E2F3"/>
            <w:tcMar>
              <w:top w:w="80" w:type="dxa"/>
              <w:left w:w="100" w:type="dxa"/>
              <w:bottom w:w="80" w:type="dxa"/>
              <w:right w:w="100" w:type="dxa"/>
            </w:tcMar>
            <w:vAlign w:val="center"/>
          </w:tcPr>
          <w:p w14:paraId="58FAF2E2" w14:textId="77777777" w:rsidR="000A2EB2" w:rsidRDefault="00000000">
            <w:r>
              <w:rPr>
                <w:b/>
                <w:bCs/>
                <w:sz w:val="20"/>
                <w:szCs w:val="20"/>
              </w:rPr>
              <w:t>H1 2025 (U.S.)</w:t>
            </w:r>
          </w:p>
        </w:tc>
        <w:tc>
          <w:tcPr>
            <w:tcW w:w="2056" w:type="dxa"/>
            <w:shd w:val="clear" w:color="auto" w:fill="D9E2F3"/>
            <w:tcMar>
              <w:top w:w="80" w:type="dxa"/>
              <w:left w:w="100" w:type="dxa"/>
              <w:bottom w:w="80" w:type="dxa"/>
              <w:right w:w="100" w:type="dxa"/>
            </w:tcMar>
            <w:vAlign w:val="center"/>
          </w:tcPr>
          <w:p w14:paraId="2E449D5F" w14:textId="77777777" w:rsidR="000A2EB2" w:rsidRDefault="00000000">
            <w:r>
              <w:rPr>
                <w:b/>
                <w:bCs/>
                <w:sz w:val="20"/>
                <w:szCs w:val="20"/>
              </w:rPr>
              <w:t>H1 2026 (U.S.)</w:t>
            </w:r>
          </w:p>
        </w:tc>
        <w:tc>
          <w:tcPr>
            <w:tcW w:w="3179" w:type="dxa"/>
            <w:shd w:val="clear" w:color="auto" w:fill="D9E2F3"/>
            <w:tcMar>
              <w:top w:w="80" w:type="dxa"/>
              <w:left w:w="100" w:type="dxa"/>
              <w:bottom w:w="80" w:type="dxa"/>
              <w:right w:w="100" w:type="dxa"/>
            </w:tcMar>
            <w:vAlign w:val="center"/>
          </w:tcPr>
          <w:p w14:paraId="1956141D" w14:textId="77777777" w:rsidR="000A2EB2" w:rsidRDefault="00000000">
            <w:r>
              <w:rPr>
                <w:b/>
                <w:bCs/>
                <w:sz w:val="20"/>
                <w:szCs w:val="20"/>
              </w:rPr>
              <w:t>Direction / Interpretation</w:t>
            </w:r>
          </w:p>
        </w:tc>
      </w:tr>
      <w:tr w:rsidR="000A2EB2" w14:paraId="024EA0DF" w14:textId="77777777">
        <w:tblPrEx>
          <w:tblCellMar>
            <w:top w:w="0" w:type="dxa"/>
            <w:bottom w:w="0" w:type="dxa"/>
          </w:tblCellMar>
        </w:tblPrEx>
        <w:tc>
          <w:tcPr>
            <w:tcW w:w="2616" w:type="dxa"/>
            <w:tcMar>
              <w:top w:w="80" w:type="dxa"/>
              <w:left w:w="100" w:type="dxa"/>
              <w:bottom w:w="80" w:type="dxa"/>
              <w:right w:w="100" w:type="dxa"/>
            </w:tcMar>
            <w:vAlign w:val="center"/>
          </w:tcPr>
          <w:p w14:paraId="587C90F0" w14:textId="77777777" w:rsidR="000A2EB2" w:rsidRDefault="00000000">
            <w:r>
              <w:rPr>
                <w:sz w:val="20"/>
                <w:szCs w:val="20"/>
              </w:rPr>
              <w:t>Campaigns launched</w:t>
            </w:r>
          </w:p>
        </w:tc>
        <w:tc>
          <w:tcPr>
            <w:tcW w:w="1869" w:type="dxa"/>
            <w:tcMar>
              <w:top w:w="80" w:type="dxa"/>
              <w:left w:w="100" w:type="dxa"/>
              <w:bottom w:w="80" w:type="dxa"/>
              <w:right w:w="100" w:type="dxa"/>
            </w:tcMar>
            <w:vAlign w:val="center"/>
          </w:tcPr>
          <w:p w14:paraId="3DD129F2" w14:textId="77777777" w:rsidR="000A2EB2" w:rsidRDefault="00000000">
            <w:r>
              <w:rPr>
                <w:sz w:val="20"/>
                <w:szCs w:val="20"/>
              </w:rPr>
              <w:t>75</w:t>
            </w:r>
          </w:p>
        </w:tc>
        <w:tc>
          <w:tcPr>
            <w:tcW w:w="2056" w:type="dxa"/>
            <w:tcMar>
              <w:top w:w="80" w:type="dxa"/>
              <w:left w:w="100" w:type="dxa"/>
              <w:bottom w:w="80" w:type="dxa"/>
              <w:right w:w="100" w:type="dxa"/>
            </w:tcMar>
            <w:vAlign w:val="center"/>
          </w:tcPr>
          <w:p w14:paraId="1C42EBD4" w14:textId="77777777" w:rsidR="000A2EB2" w:rsidRDefault="00000000">
            <w:r>
              <w:rPr>
                <w:sz w:val="20"/>
                <w:szCs w:val="20"/>
              </w:rPr>
              <w:t>84 (+12%)</w:t>
            </w:r>
          </w:p>
        </w:tc>
        <w:tc>
          <w:tcPr>
            <w:tcW w:w="3179" w:type="dxa"/>
            <w:tcMar>
              <w:top w:w="80" w:type="dxa"/>
              <w:left w:w="100" w:type="dxa"/>
              <w:bottom w:w="80" w:type="dxa"/>
              <w:right w:w="100" w:type="dxa"/>
            </w:tcMar>
            <w:vAlign w:val="center"/>
          </w:tcPr>
          <w:p w14:paraId="4E5DDF5C" w14:textId="77777777" w:rsidR="000A2EB2" w:rsidRDefault="00000000">
            <w:r>
              <w:rPr>
                <w:sz w:val="20"/>
                <w:szCs w:val="20"/>
              </w:rPr>
              <w:t>Record pace continues; volume up despite lower per-campaign success</w:t>
            </w:r>
          </w:p>
        </w:tc>
      </w:tr>
      <w:tr w:rsidR="000A2EB2" w14:paraId="287D4034" w14:textId="77777777">
        <w:tblPrEx>
          <w:tblCellMar>
            <w:top w:w="0" w:type="dxa"/>
            <w:bottom w:w="0" w:type="dxa"/>
          </w:tblCellMar>
        </w:tblPrEx>
        <w:tc>
          <w:tcPr>
            <w:tcW w:w="2616" w:type="dxa"/>
            <w:shd w:val="clear" w:color="auto" w:fill="F2F2F2"/>
            <w:tcMar>
              <w:top w:w="80" w:type="dxa"/>
              <w:left w:w="100" w:type="dxa"/>
              <w:bottom w:w="80" w:type="dxa"/>
              <w:right w:w="100" w:type="dxa"/>
            </w:tcMar>
            <w:vAlign w:val="center"/>
          </w:tcPr>
          <w:p w14:paraId="1D7E3353" w14:textId="77777777" w:rsidR="000A2EB2" w:rsidRDefault="00000000">
            <w:r>
              <w:rPr>
                <w:sz w:val="20"/>
                <w:szCs w:val="20"/>
              </w:rPr>
              <w:t>M&amp;A-related demand share</w:t>
            </w:r>
          </w:p>
        </w:tc>
        <w:tc>
          <w:tcPr>
            <w:tcW w:w="1869" w:type="dxa"/>
            <w:shd w:val="clear" w:color="auto" w:fill="F2F2F2"/>
            <w:tcMar>
              <w:top w:w="80" w:type="dxa"/>
              <w:left w:w="100" w:type="dxa"/>
              <w:bottom w:w="80" w:type="dxa"/>
              <w:right w:w="100" w:type="dxa"/>
            </w:tcMar>
            <w:vAlign w:val="center"/>
          </w:tcPr>
          <w:p w14:paraId="0D83C65B" w14:textId="77777777" w:rsidR="000A2EB2" w:rsidRDefault="00000000">
            <w:r>
              <w:rPr>
                <w:sz w:val="20"/>
                <w:szCs w:val="20"/>
              </w:rPr>
              <w:t>19 campaigns (~25%)</w:t>
            </w:r>
          </w:p>
        </w:tc>
        <w:tc>
          <w:tcPr>
            <w:tcW w:w="2056" w:type="dxa"/>
            <w:shd w:val="clear" w:color="auto" w:fill="F2F2F2"/>
            <w:tcMar>
              <w:top w:w="80" w:type="dxa"/>
              <w:left w:w="100" w:type="dxa"/>
              <w:bottom w:w="80" w:type="dxa"/>
              <w:right w:w="100" w:type="dxa"/>
            </w:tcMar>
            <w:vAlign w:val="center"/>
          </w:tcPr>
          <w:p w14:paraId="135D5B51" w14:textId="77777777" w:rsidR="000A2EB2" w:rsidRDefault="00000000">
            <w:r>
              <w:rPr>
                <w:sz w:val="20"/>
                <w:szCs w:val="20"/>
              </w:rPr>
              <w:t>39 campaigns (~46%)</w:t>
            </w:r>
          </w:p>
        </w:tc>
        <w:tc>
          <w:tcPr>
            <w:tcW w:w="3179" w:type="dxa"/>
            <w:shd w:val="clear" w:color="auto" w:fill="F2F2F2"/>
            <w:tcMar>
              <w:top w:w="80" w:type="dxa"/>
              <w:left w:w="100" w:type="dxa"/>
              <w:bottom w:w="80" w:type="dxa"/>
              <w:right w:w="100" w:type="dxa"/>
            </w:tcMar>
            <w:vAlign w:val="center"/>
          </w:tcPr>
          <w:p w14:paraId="7F84E61F" w14:textId="77777777" w:rsidR="000A2EB2" w:rsidRDefault="00000000">
            <w:r>
              <w:rPr>
                <w:sz w:val="20"/>
                <w:szCs w:val="20"/>
              </w:rPr>
              <w:t>M&amp;A overtakes governance reform as leading demand type</w:t>
            </w:r>
          </w:p>
        </w:tc>
      </w:tr>
      <w:tr w:rsidR="000A2EB2" w14:paraId="177B5AA4" w14:textId="77777777">
        <w:tblPrEx>
          <w:tblCellMar>
            <w:top w:w="0" w:type="dxa"/>
            <w:bottom w:w="0" w:type="dxa"/>
          </w:tblCellMar>
        </w:tblPrEx>
        <w:tc>
          <w:tcPr>
            <w:tcW w:w="2616" w:type="dxa"/>
            <w:tcMar>
              <w:top w:w="80" w:type="dxa"/>
              <w:left w:w="100" w:type="dxa"/>
              <w:bottom w:w="80" w:type="dxa"/>
              <w:right w:w="100" w:type="dxa"/>
            </w:tcMar>
            <w:vAlign w:val="center"/>
          </w:tcPr>
          <w:p w14:paraId="6814D7FD" w14:textId="77777777" w:rsidR="000A2EB2" w:rsidRDefault="00000000">
            <w:r>
              <w:rPr>
                <w:sz w:val="20"/>
                <w:szCs w:val="20"/>
              </w:rPr>
              <w:t>Board seats won</w:t>
            </w:r>
          </w:p>
        </w:tc>
        <w:tc>
          <w:tcPr>
            <w:tcW w:w="1869" w:type="dxa"/>
            <w:tcMar>
              <w:top w:w="80" w:type="dxa"/>
              <w:left w:w="100" w:type="dxa"/>
              <w:bottom w:w="80" w:type="dxa"/>
              <w:right w:w="100" w:type="dxa"/>
            </w:tcMar>
            <w:vAlign w:val="center"/>
          </w:tcPr>
          <w:p w14:paraId="02AF0198" w14:textId="77777777" w:rsidR="000A2EB2" w:rsidRDefault="00000000">
            <w:r>
              <w:rPr>
                <w:sz w:val="20"/>
                <w:szCs w:val="20"/>
              </w:rPr>
              <w:t>31 seats / 19 companies</w:t>
            </w:r>
          </w:p>
        </w:tc>
        <w:tc>
          <w:tcPr>
            <w:tcW w:w="2056" w:type="dxa"/>
            <w:tcMar>
              <w:top w:w="80" w:type="dxa"/>
              <w:left w:w="100" w:type="dxa"/>
              <w:bottom w:w="80" w:type="dxa"/>
              <w:right w:w="100" w:type="dxa"/>
            </w:tcMar>
            <w:vAlign w:val="center"/>
          </w:tcPr>
          <w:p w14:paraId="0EDCE14A" w14:textId="77777777" w:rsidR="000A2EB2" w:rsidRDefault="00000000">
            <w:r>
              <w:rPr>
                <w:sz w:val="20"/>
                <w:szCs w:val="20"/>
              </w:rPr>
              <w:t>25 seats / 15 companies</w:t>
            </w:r>
          </w:p>
        </w:tc>
        <w:tc>
          <w:tcPr>
            <w:tcW w:w="3179" w:type="dxa"/>
            <w:tcMar>
              <w:top w:w="80" w:type="dxa"/>
              <w:left w:w="100" w:type="dxa"/>
              <w:bottom w:w="80" w:type="dxa"/>
              <w:right w:w="100" w:type="dxa"/>
            </w:tcMar>
            <w:vAlign w:val="center"/>
          </w:tcPr>
          <w:p w14:paraId="4ABB88C9" w14:textId="77777777" w:rsidR="000A2EB2" w:rsidRDefault="00000000">
            <w:r>
              <w:rPr>
                <w:sz w:val="20"/>
                <w:szCs w:val="20"/>
              </w:rPr>
              <w:t>Fewer seats won even as campaign volume rose</w:t>
            </w:r>
          </w:p>
        </w:tc>
      </w:tr>
      <w:tr w:rsidR="000A2EB2" w14:paraId="4AA35339" w14:textId="77777777">
        <w:tblPrEx>
          <w:tblCellMar>
            <w:top w:w="0" w:type="dxa"/>
            <w:bottom w:w="0" w:type="dxa"/>
          </w:tblCellMar>
        </w:tblPrEx>
        <w:tc>
          <w:tcPr>
            <w:tcW w:w="2616" w:type="dxa"/>
            <w:shd w:val="clear" w:color="auto" w:fill="F2F2F2"/>
            <w:tcMar>
              <w:top w:w="80" w:type="dxa"/>
              <w:left w:w="100" w:type="dxa"/>
              <w:bottom w:w="80" w:type="dxa"/>
              <w:right w:w="100" w:type="dxa"/>
            </w:tcMar>
            <w:vAlign w:val="center"/>
          </w:tcPr>
          <w:p w14:paraId="72511453" w14:textId="77777777" w:rsidR="000A2EB2" w:rsidRDefault="00000000">
            <w:r>
              <w:rPr>
                <w:sz w:val="20"/>
                <w:szCs w:val="20"/>
              </w:rPr>
              <w:t>Campaign success rate</w:t>
            </w:r>
          </w:p>
        </w:tc>
        <w:tc>
          <w:tcPr>
            <w:tcW w:w="1869" w:type="dxa"/>
            <w:shd w:val="clear" w:color="auto" w:fill="F2F2F2"/>
            <w:tcMar>
              <w:top w:w="80" w:type="dxa"/>
              <w:left w:w="100" w:type="dxa"/>
              <w:bottom w:w="80" w:type="dxa"/>
              <w:right w:w="100" w:type="dxa"/>
            </w:tcMar>
            <w:vAlign w:val="center"/>
          </w:tcPr>
          <w:p w14:paraId="2B85B0AF" w14:textId="77777777" w:rsidR="000A2EB2" w:rsidRDefault="00000000">
            <w:r>
              <w:rPr>
                <w:sz w:val="20"/>
                <w:szCs w:val="20"/>
              </w:rPr>
              <w:t>~27%</w:t>
            </w:r>
          </w:p>
        </w:tc>
        <w:tc>
          <w:tcPr>
            <w:tcW w:w="2056" w:type="dxa"/>
            <w:shd w:val="clear" w:color="auto" w:fill="F2F2F2"/>
            <w:tcMar>
              <w:top w:w="80" w:type="dxa"/>
              <w:left w:w="100" w:type="dxa"/>
              <w:bottom w:w="80" w:type="dxa"/>
              <w:right w:w="100" w:type="dxa"/>
            </w:tcMar>
            <w:vAlign w:val="center"/>
          </w:tcPr>
          <w:p w14:paraId="42D7FF38" w14:textId="77777777" w:rsidR="000A2EB2" w:rsidRDefault="00000000">
            <w:r>
              <w:rPr>
                <w:sz w:val="20"/>
                <w:szCs w:val="20"/>
              </w:rPr>
              <w:t>~17%</w:t>
            </w:r>
          </w:p>
        </w:tc>
        <w:tc>
          <w:tcPr>
            <w:tcW w:w="3179" w:type="dxa"/>
            <w:shd w:val="clear" w:color="auto" w:fill="F2F2F2"/>
            <w:tcMar>
              <w:top w:w="80" w:type="dxa"/>
              <w:left w:w="100" w:type="dxa"/>
              <w:bottom w:w="80" w:type="dxa"/>
              <w:right w:w="100" w:type="dxa"/>
            </w:tcMar>
            <w:vAlign w:val="center"/>
          </w:tcPr>
          <w:p w14:paraId="7366D26B" w14:textId="77777777" w:rsidR="000A2EB2" w:rsidRDefault="00000000">
            <w:r>
              <w:rPr>
                <w:sz w:val="20"/>
                <w:szCs w:val="20"/>
              </w:rPr>
              <w:t>Boards contesting harder; settlement less automatic</w:t>
            </w:r>
          </w:p>
        </w:tc>
      </w:tr>
      <w:tr w:rsidR="000A2EB2" w14:paraId="48E92EC7" w14:textId="77777777">
        <w:tblPrEx>
          <w:tblCellMar>
            <w:top w:w="0" w:type="dxa"/>
            <w:bottom w:w="0" w:type="dxa"/>
          </w:tblCellMar>
        </w:tblPrEx>
        <w:tc>
          <w:tcPr>
            <w:tcW w:w="2616" w:type="dxa"/>
            <w:tcMar>
              <w:top w:w="80" w:type="dxa"/>
              <w:left w:w="100" w:type="dxa"/>
              <w:bottom w:w="80" w:type="dxa"/>
              <w:right w:w="100" w:type="dxa"/>
            </w:tcMar>
            <w:vAlign w:val="center"/>
          </w:tcPr>
          <w:p w14:paraId="76BC9163" w14:textId="77777777" w:rsidR="000A2EB2" w:rsidRDefault="00000000">
            <w:r>
              <w:rPr>
                <w:sz w:val="20"/>
                <w:szCs w:val="20"/>
              </w:rPr>
              <w:t>Most active activist</w:t>
            </w:r>
          </w:p>
        </w:tc>
        <w:tc>
          <w:tcPr>
            <w:tcW w:w="1869" w:type="dxa"/>
            <w:tcMar>
              <w:top w:w="80" w:type="dxa"/>
              <w:left w:w="100" w:type="dxa"/>
              <w:bottom w:w="80" w:type="dxa"/>
              <w:right w:w="100" w:type="dxa"/>
            </w:tcMar>
            <w:vAlign w:val="center"/>
          </w:tcPr>
          <w:p w14:paraId="3B228172" w14:textId="77777777" w:rsidR="000A2EB2" w:rsidRDefault="00000000">
            <w:r>
              <w:rPr>
                <w:sz w:val="20"/>
                <w:szCs w:val="20"/>
              </w:rPr>
              <w:t>Elliott (3 campaigns)</w:t>
            </w:r>
          </w:p>
        </w:tc>
        <w:tc>
          <w:tcPr>
            <w:tcW w:w="2056" w:type="dxa"/>
            <w:tcMar>
              <w:top w:w="80" w:type="dxa"/>
              <w:left w:w="100" w:type="dxa"/>
              <w:bottom w:w="80" w:type="dxa"/>
              <w:right w:w="100" w:type="dxa"/>
            </w:tcMar>
            <w:vAlign w:val="center"/>
          </w:tcPr>
          <w:p w14:paraId="35CCBD45" w14:textId="77777777" w:rsidR="000A2EB2" w:rsidRDefault="00000000">
            <w:r>
              <w:rPr>
                <w:sz w:val="20"/>
                <w:szCs w:val="20"/>
              </w:rPr>
              <w:t>Elliott (6 campaigns)</w:t>
            </w:r>
          </w:p>
        </w:tc>
        <w:tc>
          <w:tcPr>
            <w:tcW w:w="3179" w:type="dxa"/>
            <w:tcMar>
              <w:top w:w="80" w:type="dxa"/>
              <w:left w:w="100" w:type="dxa"/>
              <w:bottom w:w="80" w:type="dxa"/>
              <w:right w:w="100" w:type="dxa"/>
            </w:tcMar>
            <w:vAlign w:val="center"/>
          </w:tcPr>
          <w:p w14:paraId="0A85C527" w14:textId="77777777" w:rsidR="000A2EB2" w:rsidRDefault="00000000">
            <w:r>
              <w:rPr>
                <w:sz w:val="20"/>
                <w:szCs w:val="20"/>
              </w:rPr>
              <w:t>Elliott doubled its campaign count year-over-year</w:t>
            </w:r>
          </w:p>
        </w:tc>
      </w:tr>
      <w:tr w:rsidR="000A2EB2" w14:paraId="5C05E51E" w14:textId="77777777">
        <w:tblPrEx>
          <w:tblCellMar>
            <w:top w:w="0" w:type="dxa"/>
            <w:bottom w:w="0" w:type="dxa"/>
          </w:tblCellMar>
        </w:tblPrEx>
        <w:tc>
          <w:tcPr>
            <w:tcW w:w="2616" w:type="dxa"/>
            <w:shd w:val="clear" w:color="auto" w:fill="F2F2F2"/>
            <w:tcMar>
              <w:top w:w="80" w:type="dxa"/>
              <w:left w:w="100" w:type="dxa"/>
              <w:bottom w:w="80" w:type="dxa"/>
              <w:right w:w="100" w:type="dxa"/>
            </w:tcMar>
            <w:vAlign w:val="center"/>
          </w:tcPr>
          <w:p w14:paraId="34B45851" w14:textId="77777777" w:rsidR="000A2EB2" w:rsidRDefault="00000000">
            <w:r>
              <w:rPr>
                <w:sz w:val="20"/>
                <w:szCs w:val="20"/>
              </w:rPr>
              <w:t>Top targeted sector</w:t>
            </w:r>
          </w:p>
        </w:tc>
        <w:tc>
          <w:tcPr>
            <w:tcW w:w="1869" w:type="dxa"/>
            <w:shd w:val="clear" w:color="auto" w:fill="F2F2F2"/>
            <w:tcMar>
              <w:top w:w="80" w:type="dxa"/>
              <w:left w:w="100" w:type="dxa"/>
              <w:bottom w:w="80" w:type="dxa"/>
              <w:right w:w="100" w:type="dxa"/>
            </w:tcMar>
            <w:vAlign w:val="center"/>
          </w:tcPr>
          <w:p w14:paraId="05ACF4F8" w14:textId="77777777" w:rsidR="000A2EB2" w:rsidRDefault="00000000">
            <w:r>
              <w:rPr>
                <w:sz w:val="20"/>
                <w:szCs w:val="20"/>
              </w:rPr>
              <w:t>Technology (~12%)</w:t>
            </w:r>
          </w:p>
        </w:tc>
        <w:tc>
          <w:tcPr>
            <w:tcW w:w="2056" w:type="dxa"/>
            <w:shd w:val="clear" w:color="auto" w:fill="F2F2F2"/>
            <w:tcMar>
              <w:top w:w="80" w:type="dxa"/>
              <w:left w:w="100" w:type="dxa"/>
              <w:bottom w:w="80" w:type="dxa"/>
              <w:right w:w="100" w:type="dxa"/>
            </w:tcMar>
            <w:vAlign w:val="center"/>
          </w:tcPr>
          <w:p w14:paraId="573E83E4" w14:textId="77777777" w:rsidR="000A2EB2" w:rsidRDefault="00000000">
            <w:r>
              <w:rPr>
                <w:sz w:val="20"/>
                <w:szCs w:val="20"/>
              </w:rPr>
              <w:t>Technology (~21%)</w:t>
            </w:r>
          </w:p>
        </w:tc>
        <w:tc>
          <w:tcPr>
            <w:tcW w:w="3179" w:type="dxa"/>
            <w:shd w:val="clear" w:color="auto" w:fill="F2F2F2"/>
            <w:tcMar>
              <w:top w:w="80" w:type="dxa"/>
              <w:left w:w="100" w:type="dxa"/>
              <w:bottom w:w="80" w:type="dxa"/>
              <w:right w:w="100" w:type="dxa"/>
            </w:tcMar>
            <w:vAlign w:val="center"/>
          </w:tcPr>
          <w:p w14:paraId="1456ABB4" w14:textId="77777777" w:rsidR="000A2EB2" w:rsidRDefault="00000000">
            <w:r>
              <w:rPr>
                <w:sz w:val="20"/>
                <w:szCs w:val="20"/>
              </w:rPr>
              <w:t>Technology consolidates its position as top target</w:t>
            </w:r>
          </w:p>
        </w:tc>
      </w:tr>
    </w:tbl>
    <w:p w14:paraId="693389BC" w14:textId="77777777" w:rsidR="000A2EB2" w:rsidRDefault="00000000">
      <w:pPr>
        <w:spacing w:before="60" w:after="240"/>
      </w:pPr>
      <w:r>
        <w:rPr>
          <w:i/>
          <w:iCs/>
          <w:color w:val="555555"/>
          <w:sz w:val="20"/>
          <w:szCs w:val="20"/>
        </w:rPr>
        <w:t>Source: financial-press syndication of H1 2026 bank/data-provider activism tracking (wire coverage dated 1 July 2026); see References — Web Sources. Figures are U.S.-focused and not directly comparable to Lazard's global 184-campaign count discussed above.</w:t>
      </w:r>
    </w:p>
    <w:p w14:paraId="7937E954" w14:textId="77777777" w:rsidR="000A2EB2" w:rsidRDefault="00000000">
      <w:pPr>
        <w:pStyle w:val="Heading2"/>
        <w:spacing w:before="260"/>
      </w:pPr>
      <w:r>
        <w:t>2.3 Illustrative campaign patterns</w:t>
      </w:r>
    </w:p>
    <w:p w14:paraId="70FF3B44" w14:textId="77777777" w:rsidR="000A2EB2" w:rsidRDefault="00000000">
      <w:pPr>
        <w:spacing w:after="160"/>
      </w:pPr>
      <w:r>
        <w:t>The table below synthesizes recurring, well-documented patterns of M&amp;A-driven activism in the 2025–2026 cycle. Rows marked "illustrative" compose realistic, commonly observed campaign structures grounded in the aggregate H1 2026 statistics above (39 of 84 U.S. campaigns carrying M&amp;A demands; Elliott running six campaigns) rather than being verified as specific, named real-world campaigns; they are presented for pedagogical use in the Part VI simulation and should not be cited as confirmed real transactions without independent verification against a named activist's public 13D/A filings.</w:t>
      </w:r>
    </w:p>
    <w:p w14:paraId="0A91945F" w14:textId="77777777" w:rsidR="000A2EB2" w:rsidRDefault="00000000">
      <w:pPr>
        <w:pStyle w:val="Heading3"/>
        <w:spacing w:before="200" w:after="100"/>
      </w:pPr>
      <w:r>
        <w:t>Table 2 — Recent (H1 2026) Activism Campaign Patterns: Target / Activist / Demand / Outcome</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30"/>
        <w:gridCol w:w="2056"/>
        <w:gridCol w:w="2430"/>
        <w:gridCol w:w="2804"/>
      </w:tblGrid>
      <w:tr w:rsidR="000A2EB2" w14:paraId="2867F6B7" w14:textId="77777777">
        <w:tblPrEx>
          <w:tblCellMar>
            <w:top w:w="0" w:type="dxa"/>
            <w:bottom w:w="0" w:type="dxa"/>
          </w:tblCellMar>
        </w:tblPrEx>
        <w:trPr>
          <w:tblHeader/>
        </w:trPr>
        <w:tc>
          <w:tcPr>
            <w:tcW w:w="2430" w:type="dxa"/>
            <w:shd w:val="clear" w:color="auto" w:fill="D9E2F3"/>
            <w:tcMar>
              <w:top w:w="80" w:type="dxa"/>
              <w:left w:w="100" w:type="dxa"/>
              <w:bottom w:w="80" w:type="dxa"/>
              <w:right w:w="100" w:type="dxa"/>
            </w:tcMar>
            <w:vAlign w:val="center"/>
          </w:tcPr>
          <w:p w14:paraId="0DF5ACF3" w14:textId="77777777" w:rsidR="000A2EB2" w:rsidRDefault="00000000">
            <w:r>
              <w:rPr>
                <w:b/>
                <w:bCs/>
                <w:sz w:val="20"/>
                <w:szCs w:val="20"/>
              </w:rPr>
              <w:t>Target (type)</w:t>
            </w:r>
          </w:p>
        </w:tc>
        <w:tc>
          <w:tcPr>
            <w:tcW w:w="2056" w:type="dxa"/>
            <w:shd w:val="clear" w:color="auto" w:fill="D9E2F3"/>
            <w:tcMar>
              <w:top w:w="80" w:type="dxa"/>
              <w:left w:w="100" w:type="dxa"/>
              <w:bottom w:w="80" w:type="dxa"/>
              <w:right w:w="100" w:type="dxa"/>
            </w:tcMar>
            <w:vAlign w:val="center"/>
          </w:tcPr>
          <w:p w14:paraId="24F88EBE" w14:textId="77777777" w:rsidR="000A2EB2" w:rsidRDefault="00000000">
            <w:r>
              <w:rPr>
                <w:b/>
                <w:bCs/>
                <w:sz w:val="20"/>
                <w:szCs w:val="20"/>
              </w:rPr>
              <w:t>Activist (type)</w:t>
            </w:r>
          </w:p>
        </w:tc>
        <w:tc>
          <w:tcPr>
            <w:tcW w:w="2430" w:type="dxa"/>
            <w:shd w:val="clear" w:color="auto" w:fill="D9E2F3"/>
            <w:tcMar>
              <w:top w:w="80" w:type="dxa"/>
              <w:left w:w="100" w:type="dxa"/>
              <w:bottom w:w="80" w:type="dxa"/>
              <w:right w:w="100" w:type="dxa"/>
            </w:tcMar>
            <w:vAlign w:val="center"/>
          </w:tcPr>
          <w:p w14:paraId="6E88C5CB" w14:textId="77777777" w:rsidR="000A2EB2" w:rsidRDefault="00000000">
            <w:r>
              <w:rPr>
                <w:b/>
                <w:bCs/>
                <w:sz w:val="20"/>
                <w:szCs w:val="20"/>
              </w:rPr>
              <w:t>Demand Type</w:t>
            </w:r>
          </w:p>
        </w:tc>
        <w:tc>
          <w:tcPr>
            <w:tcW w:w="2804" w:type="dxa"/>
            <w:shd w:val="clear" w:color="auto" w:fill="D9E2F3"/>
            <w:tcMar>
              <w:top w:w="80" w:type="dxa"/>
              <w:left w:w="100" w:type="dxa"/>
              <w:bottom w:w="80" w:type="dxa"/>
              <w:right w:w="100" w:type="dxa"/>
            </w:tcMar>
            <w:vAlign w:val="center"/>
          </w:tcPr>
          <w:p w14:paraId="1018F47C" w14:textId="77777777" w:rsidR="000A2EB2" w:rsidRDefault="00000000">
            <w:r>
              <w:rPr>
                <w:b/>
                <w:bCs/>
                <w:sz w:val="20"/>
                <w:szCs w:val="20"/>
              </w:rPr>
              <w:t>Outcome (illustrative pattern)</w:t>
            </w:r>
          </w:p>
        </w:tc>
      </w:tr>
      <w:tr w:rsidR="000A2EB2" w14:paraId="56ABE056" w14:textId="77777777">
        <w:tblPrEx>
          <w:tblCellMar>
            <w:top w:w="0" w:type="dxa"/>
            <w:bottom w:w="0" w:type="dxa"/>
          </w:tblCellMar>
        </w:tblPrEx>
        <w:tc>
          <w:tcPr>
            <w:tcW w:w="2430" w:type="dxa"/>
            <w:tcMar>
              <w:top w:w="80" w:type="dxa"/>
              <w:left w:w="100" w:type="dxa"/>
              <w:bottom w:w="80" w:type="dxa"/>
              <w:right w:w="100" w:type="dxa"/>
            </w:tcMar>
            <w:vAlign w:val="center"/>
          </w:tcPr>
          <w:p w14:paraId="377090C4" w14:textId="77777777" w:rsidR="000A2EB2" w:rsidRDefault="00000000">
            <w:r>
              <w:rPr>
                <w:sz w:val="20"/>
                <w:szCs w:val="20"/>
              </w:rPr>
              <w:t>Diversified industrial conglomerate — illustrative</w:t>
            </w:r>
          </w:p>
        </w:tc>
        <w:tc>
          <w:tcPr>
            <w:tcW w:w="2056" w:type="dxa"/>
            <w:tcMar>
              <w:top w:w="80" w:type="dxa"/>
              <w:left w:w="100" w:type="dxa"/>
              <w:bottom w:w="80" w:type="dxa"/>
              <w:right w:w="100" w:type="dxa"/>
            </w:tcMar>
            <w:vAlign w:val="center"/>
          </w:tcPr>
          <w:p w14:paraId="746E7136" w14:textId="77777777" w:rsidR="000A2EB2" w:rsidRDefault="00000000">
            <w:r>
              <w:rPr>
                <w:sz w:val="20"/>
                <w:szCs w:val="20"/>
              </w:rPr>
              <w:t>Multi-strategy activist fund</w:t>
            </w:r>
          </w:p>
        </w:tc>
        <w:tc>
          <w:tcPr>
            <w:tcW w:w="2430" w:type="dxa"/>
            <w:tcMar>
              <w:top w:w="80" w:type="dxa"/>
              <w:left w:w="100" w:type="dxa"/>
              <w:bottom w:w="80" w:type="dxa"/>
              <w:right w:w="100" w:type="dxa"/>
            </w:tcMar>
            <w:vAlign w:val="center"/>
          </w:tcPr>
          <w:p w14:paraId="4BFA25CB" w14:textId="77777777" w:rsidR="000A2EB2" w:rsidRDefault="00000000">
            <w:r>
              <w:rPr>
                <w:sz w:val="20"/>
                <w:szCs w:val="20"/>
              </w:rPr>
              <w:t>Break-up / spin-off of a non-core segment</w:t>
            </w:r>
          </w:p>
        </w:tc>
        <w:tc>
          <w:tcPr>
            <w:tcW w:w="2804" w:type="dxa"/>
            <w:tcMar>
              <w:top w:w="80" w:type="dxa"/>
              <w:left w:w="100" w:type="dxa"/>
              <w:bottom w:w="80" w:type="dxa"/>
              <w:right w:w="100" w:type="dxa"/>
            </w:tcMar>
            <w:vAlign w:val="center"/>
          </w:tcPr>
          <w:p w14:paraId="5688BC47" w14:textId="77777777" w:rsidR="000A2EB2" w:rsidRDefault="00000000">
            <w:r>
              <w:rPr>
                <w:sz w:val="20"/>
                <w:szCs w:val="20"/>
              </w:rPr>
              <w:t>Settlement: two board seats granted; strategic review announced; spin-off completed within 18 months</w:t>
            </w:r>
          </w:p>
        </w:tc>
      </w:tr>
      <w:tr w:rsidR="000A2EB2" w14:paraId="219DC8C9" w14:textId="77777777">
        <w:tblPrEx>
          <w:tblCellMar>
            <w:top w:w="0" w:type="dxa"/>
            <w:bottom w:w="0" w:type="dxa"/>
          </w:tblCellMar>
        </w:tblPrEx>
        <w:tc>
          <w:tcPr>
            <w:tcW w:w="2430" w:type="dxa"/>
            <w:shd w:val="clear" w:color="auto" w:fill="F2F2F2"/>
            <w:tcMar>
              <w:top w:w="80" w:type="dxa"/>
              <w:left w:w="100" w:type="dxa"/>
              <w:bottom w:w="80" w:type="dxa"/>
              <w:right w:w="100" w:type="dxa"/>
            </w:tcMar>
            <w:vAlign w:val="center"/>
          </w:tcPr>
          <w:p w14:paraId="1ACA1657" w14:textId="77777777" w:rsidR="000A2EB2" w:rsidRDefault="00000000">
            <w:r>
              <w:rPr>
                <w:sz w:val="20"/>
                <w:szCs w:val="20"/>
              </w:rPr>
              <w:lastRenderedPageBreak/>
              <w:t>Mid-cap technology company — illustrative</w:t>
            </w:r>
          </w:p>
        </w:tc>
        <w:tc>
          <w:tcPr>
            <w:tcW w:w="2056" w:type="dxa"/>
            <w:shd w:val="clear" w:color="auto" w:fill="F2F2F2"/>
            <w:tcMar>
              <w:top w:w="80" w:type="dxa"/>
              <w:left w:w="100" w:type="dxa"/>
              <w:bottom w:w="80" w:type="dxa"/>
              <w:right w:w="100" w:type="dxa"/>
            </w:tcMar>
            <w:vAlign w:val="center"/>
          </w:tcPr>
          <w:p w14:paraId="55C7CBF0" w14:textId="77777777" w:rsidR="000A2EB2" w:rsidRDefault="00000000">
            <w:r>
              <w:rPr>
                <w:sz w:val="20"/>
                <w:szCs w:val="20"/>
              </w:rPr>
              <w:t>Technology-focused activist</w:t>
            </w:r>
          </w:p>
        </w:tc>
        <w:tc>
          <w:tcPr>
            <w:tcW w:w="2430" w:type="dxa"/>
            <w:shd w:val="clear" w:color="auto" w:fill="F2F2F2"/>
            <w:tcMar>
              <w:top w:w="80" w:type="dxa"/>
              <w:left w:w="100" w:type="dxa"/>
              <w:bottom w:w="80" w:type="dxa"/>
              <w:right w:w="100" w:type="dxa"/>
            </w:tcMar>
            <w:vAlign w:val="center"/>
          </w:tcPr>
          <w:p w14:paraId="6CE7A933" w14:textId="77777777" w:rsidR="000A2EB2" w:rsidRDefault="00000000">
            <w:r>
              <w:rPr>
                <w:sz w:val="20"/>
                <w:szCs w:val="20"/>
              </w:rPr>
              <w:t>Sale-of-company process; AI strategy review</w:t>
            </w:r>
          </w:p>
        </w:tc>
        <w:tc>
          <w:tcPr>
            <w:tcW w:w="2804" w:type="dxa"/>
            <w:shd w:val="clear" w:color="auto" w:fill="F2F2F2"/>
            <w:tcMar>
              <w:top w:w="80" w:type="dxa"/>
              <w:left w:w="100" w:type="dxa"/>
              <w:bottom w:w="80" w:type="dxa"/>
              <w:right w:w="100" w:type="dxa"/>
            </w:tcMar>
            <w:vAlign w:val="center"/>
          </w:tcPr>
          <w:p w14:paraId="0E5302C4" w14:textId="77777777" w:rsidR="000A2EB2" w:rsidRDefault="00000000">
            <w:r>
              <w:rPr>
                <w:sz w:val="20"/>
                <w:szCs w:val="20"/>
              </w:rPr>
              <w:t>Proxy fight went to a vote; activist won 1 of 2 nominated seats; company retained an independent banker</w:t>
            </w:r>
          </w:p>
        </w:tc>
      </w:tr>
      <w:tr w:rsidR="000A2EB2" w14:paraId="7640A307" w14:textId="77777777">
        <w:tblPrEx>
          <w:tblCellMar>
            <w:top w:w="0" w:type="dxa"/>
            <w:bottom w:w="0" w:type="dxa"/>
          </w:tblCellMar>
        </w:tblPrEx>
        <w:tc>
          <w:tcPr>
            <w:tcW w:w="2430" w:type="dxa"/>
            <w:tcMar>
              <w:top w:w="80" w:type="dxa"/>
              <w:left w:w="100" w:type="dxa"/>
              <w:bottom w:w="80" w:type="dxa"/>
              <w:right w:w="100" w:type="dxa"/>
            </w:tcMar>
            <w:vAlign w:val="center"/>
          </w:tcPr>
          <w:p w14:paraId="3D2C879C" w14:textId="77777777" w:rsidR="000A2EB2" w:rsidRDefault="00000000">
            <w:r>
              <w:rPr>
                <w:sz w:val="20"/>
                <w:szCs w:val="20"/>
              </w:rPr>
              <w:t>Regional bank holding company — illustrative</w:t>
            </w:r>
          </w:p>
        </w:tc>
        <w:tc>
          <w:tcPr>
            <w:tcW w:w="2056" w:type="dxa"/>
            <w:tcMar>
              <w:top w:w="80" w:type="dxa"/>
              <w:left w:w="100" w:type="dxa"/>
              <w:bottom w:w="80" w:type="dxa"/>
              <w:right w:w="100" w:type="dxa"/>
            </w:tcMar>
            <w:vAlign w:val="center"/>
          </w:tcPr>
          <w:p w14:paraId="705B352D" w14:textId="77777777" w:rsidR="000A2EB2" w:rsidRDefault="00000000">
            <w:r>
              <w:rPr>
                <w:sz w:val="20"/>
                <w:szCs w:val="20"/>
              </w:rPr>
              <w:t>Financial-institutions specialist fund</w:t>
            </w:r>
          </w:p>
        </w:tc>
        <w:tc>
          <w:tcPr>
            <w:tcW w:w="2430" w:type="dxa"/>
            <w:tcMar>
              <w:top w:w="80" w:type="dxa"/>
              <w:left w:w="100" w:type="dxa"/>
              <w:bottom w:w="80" w:type="dxa"/>
              <w:right w:w="100" w:type="dxa"/>
            </w:tcMar>
            <w:vAlign w:val="center"/>
          </w:tcPr>
          <w:p w14:paraId="7613E074" w14:textId="77777777" w:rsidR="000A2EB2" w:rsidRDefault="00000000">
            <w:r>
              <w:rPr>
                <w:sz w:val="20"/>
                <w:szCs w:val="20"/>
              </w:rPr>
              <w:t>Capital return acceleration; board refresh</w:t>
            </w:r>
          </w:p>
        </w:tc>
        <w:tc>
          <w:tcPr>
            <w:tcW w:w="2804" w:type="dxa"/>
            <w:tcMar>
              <w:top w:w="80" w:type="dxa"/>
              <w:left w:w="100" w:type="dxa"/>
              <w:bottom w:w="80" w:type="dxa"/>
              <w:right w:w="100" w:type="dxa"/>
            </w:tcMar>
            <w:vAlign w:val="center"/>
          </w:tcPr>
          <w:p w14:paraId="7396AB90" w14:textId="77777777" w:rsidR="000A2EB2" w:rsidRDefault="00000000">
            <w:r>
              <w:rPr>
                <w:sz w:val="20"/>
                <w:szCs w:val="20"/>
              </w:rPr>
              <w:t>Settled pre-vote; buyback authorization increased; one new independent director added</w:t>
            </w:r>
          </w:p>
        </w:tc>
      </w:tr>
    </w:tbl>
    <w:p w14:paraId="28BB3D27" w14:textId="77777777" w:rsidR="000A2EB2" w:rsidRDefault="00000000">
      <w:pPr>
        <w:spacing w:before="60" w:after="240"/>
      </w:pPr>
      <w:r>
        <w:rPr>
          <w:i/>
          <w:iCs/>
          <w:color w:val="555555"/>
          <w:sz w:val="20"/>
          <w:szCs w:val="20"/>
        </w:rPr>
        <w:t>All rows are illustrative composites grounded in aggregate H1 2026 data (see Table 1), not verified individual campaigns; used for classroom discussion only.</w:t>
      </w:r>
    </w:p>
    <w:p w14:paraId="3225D384" w14:textId="77777777" w:rsidR="000A2EB2" w:rsidRDefault="00000000">
      <w:r>
        <w:br w:type="page"/>
      </w:r>
    </w:p>
    <w:p w14:paraId="70303A54" w14:textId="77777777" w:rsidR="000A2EB2" w:rsidRDefault="00000000">
      <w:pPr>
        <w:pStyle w:val="Heading1"/>
        <w:spacing w:before="360" w:after="180"/>
      </w:pPr>
      <w:r>
        <w:lastRenderedPageBreak/>
        <w:t>Part III — Board Seat Contests</w:t>
      </w:r>
    </w:p>
    <w:p w14:paraId="053A9E62" w14:textId="77777777" w:rsidR="000A2EB2" w:rsidRDefault="00000000">
      <w:pPr>
        <w:pStyle w:val="Heading2"/>
        <w:spacing w:before="260"/>
      </w:pPr>
      <w:r>
        <w:t>3.1 The economics of a proxy fight</w:t>
      </w:r>
    </w:p>
    <w:p w14:paraId="34DABE70" w14:textId="77777777" w:rsidR="000A2EB2" w:rsidRDefault="00000000">
      <w:pPr>
        <w:spacing w:after="160"/>
      </w:pPr>
      <w:r>
        <w:t>A board-seat contest is the escalation point at which an activist, having failed to secure a negotiated settlement, nominates its own director slate and solicits votes from all shareholders ahead of the annual meeting. The decision to escalate is not automatic: Gantchev (2013) models it explicitly as a sequential choice under cost uncertainty, and the empirical pattern in 2026 — falling success rates (27% to 17%) alongside rising campaign volume — is consistent with boards becoming more willing to contest a vote rather than pre-emptively settle, likely because incumbent boards increasingly judge that a public fight, even if costly, protects them from a precedent of automatic capitulation to any activist with a plausible thesis.</w:t>
      </w:r>
    </w:p>
    <w:p w14:paraId="46C8A84D" w14:textId="77777777" w:rsidR="000A2EB2" w:rsidRDefault="00000000">
      <w:pPr>
        <w:pStyle w:val="Heading2"/>
        <w:spacing w:before="260"/>
      </w:pPr>
      <w:r>
        <w:t>3.2 The proxy advisor gatekeepers</w:t>
      </w:r>
    </w:p>
    <w:p w14:paraId="1AED751B" w14:textId="77777777" w:rsidR="000A2EB2" w:rsidRDefault="00000000">
      <w:pPr>
        <w:spacing w:after="160"/>
      </w:pPr>
      <w:r>
        <w:t>Institutional Shareholder Services (ISS) and Glass Lewis issue voting recommendations that are decisive in most contests because a large share of the shareholder base — index funds, pension funds, and other institutions — defers heavily to these recommendations rather than conducting independent analysis of every contested seat. A favorable ISS or Glass Lewis recommendation for even one or two dissident nominees frequently determines the outcome, which means both activists and incumbent boards devote substantial campaign resources to the advisory-firm presentation rather than solely to retail or index-fund solicitation.</w:t>
      </w:r>
    </w:p>
    <w:p w14:paraId="22B24C33" w14:textId="77777777" w:rsidR="000A2EB2" w:rsidRDefault="00000000">
      <w:pPr>
        <w:pStyle w:val="Heading2"/>
        <w:spacing w:before="260"/>
      </w:pPr>
      <w:r>
        <w:t>3.3 Settlement as the modal outcome</w:t>
      </w:r>
    </w:p>
    <w:p w14:paraId="2D220DA1" w14:textId="77777777" w:rsidR="000A2EB2" w:rsidRDefault="00000000">
      <w:pPr>
        <w:spacing w:after="160"/>
      </w:pPr>
      <w:r>
        <w:t>Despite the visibility of proxy fights, the large majority of activist campaigns are resolved by negotiated settlement before a shareholder vote — typically involving board representation (one to three seats), a standstill agreement limiting further stake increases or public criticism for a defined period, and often a commitment to specific capital-allocation or strategic-review actions. Settlement is generally the lower-cost outcome for both sides given Gantchev's (2013) cost estimates for full proxy contests, and boards' willingness to settle versus fight is shaped heavily by their assessment of likely ISS/Glass Lewis recommendations and the credibility of the activist's specific nominees.</w:t>
      </w:r>
    </w:p>
    <w:p w14:paraId="0E71AFCF" w14:textId="77777777" w:rsidR="000A2EB2" w:rsidRDefault="00000000">
      <w:r>
        <w:br w:type="page"/>
      </w:r>
    </w:p>
    <w:p w14:paraId="3A725544" w14:textId="77777777" w:rsidR="000A2EB2" w:rsidRDefault="00000000">
      <w:pPr>
        <w:pStyle w:val="Heading1"/>
        <w:spacing w:before="360" w:after="180"/>
      </w:pPr>
      <w:r>
        <w:lastRenderedPageBreak/>
        <w:t>Part IV — Defense Tactics</w:t>
      </w:r>
    </w:p>
    <w:p w14:paraId="4F3DECF7" w14:textId="77777777" w:rsidR="000A2EB2" w:rsidRDefault="00000000">
      <w:pPr>
        <w:pStyle w:val="Heading2"/>
        <w:spacing w:before="260"/>
      </w:pPr>
      <w:r>
        <w:t>4.1 The poison pill (shareholder rights plan)</w:t>
      </w:r>
    </w:p>
    <w:p w14:paraId="15B8A2B7" w14:textId="77777777" w:rsidR="000A2EB2" w:rsidRDefault="00000000">
      <w:pPr>
        <w:spacing w:after="160"/>
      </w:pPr>
      <w:r>
        <w:t>The poison pill, formally a shareholder rights plan, is triggered when an acquirer or activist crosses a specified ownership threshold (commonly 10%–20%), at which point all shareholders except the triggering party receive the right to purchase additional shares at a steep discount, diluting the triggering party's position and making further accumulation prohibitively expensive. Malatesta &amp; Walkling (1988), in an early and influential event-study analysis of poison pill adoptions, find that pill adoption is associated with negative abnormal stock returns on average, particularly for firms with weaker pre-existing governance and more entrenched management, suggesting the market interprets many pill adoptions as management entrenchment rather than genuine shareholder protection — though the authors and subsequent literature note this effect is not uniform, and pills adopted with a sunset provision or shareholder ratification are viewed considerably more favorably.</w:t>
      </w:r>
    </w:p>
    <w:p w14:paraId="6746F7EE" w14:textId="77777777" w:rsidR="000A2EB2" w:rsidRDefault="00000000">
      <w:pPr>
        <w:pStyle w:val="Heading2"/>
        <w:spacing w:before="260"/>
      </w:pPr>
      <w:r>
        <w:t>4.2 The staggered (classified) board</w:t>
      </w:r>
    </w:p>
    <w:p w14:paraId="28A2612B" w14:textId="77777777" w:rsidR="000A2EB2" w:rsidRDefault="00000000">
      <w:pPr>
        <w:spacing w:after="160"/>
      </w:pPr>
      <w:r>
        <w:t>A staggered board divides directors into (typically three) classes, each serving multi-year terms with only one class up for election in any given year, so that an activist cannot replace a board majority in a single annual meeting even after winning every contested seat that cycle. Bebchuk, Coates &amp; Subramanian (2002), "The Powerful Antitakeover Force of Staggered Boards," published in the Stanford Law Review, provide the seminal empirical case that staggered boards are a far more powerful antitakeover device than commonly appreciated at the time, roughly doubling the odds that a hostile bidder is deterred entirely or forced into a substantially higher premium, and materially reducing the odds that any given control contest succeeds — a finding that reframed staggered boards from a minor governance detail into one of the two or three most consequential defensive structures a company can adopt.</w:t>
      </w:r>
    </w:p>
    <w:p w14:paraId="78768430" w14:textId="77777777" w:rsidR="000A2EB2" w:rsidRDefault="00000000">
      <w:pPr>
        <w:pStyle w:val="Heading2"/>
        <w:spacing w:before="260"/>
      </w:pPr>
      <w:r>
        <w:t>4.3 Advance notice bylaws</w:t>
      </w:r>
    </w:p>
    <w:p w14:paraId="75BA0FE8" w14:textId="77777777" w:rsidR="000A2EB2" w:rsidRDefault="00000000">
      <w:pPr>
        <w:spacing w:after="160"/>
      </w:pPr>
      <w:r>
        <w:t>Advance notice bylaws require any shareholder intending to nominate director candidates to provide detailed notice — often 90 to 120 days before the annual meeting, along with extensive disclosure about the nominee and the nominating shareholder's economic interests (including derivative positions) — well in advance of the meeting itself. These bylaws do not prevent a contest outright but compress the activist's window for gathering support, force early disclosure of intent (eliminating surprise), and create technical compliance traps that boards can, and sometimes do, use to disqualify a dissident slate on procedural grounds alone.</w:t>
      </w:r>
    </w:p>
    <w:p w14:paraId="7E013BD3" w14:textId="77777777" w:rsidR="000A2EB2" w:rsidRDefault="00000000">
      <w:pPr>
        <w:pStyle w:val="Heading3"/>
        <w:spacing w:before="200" w:after="100"/>
      </w:pPr>
      <w:r>
        <w:t>Table 3 — Defense Tactics: Mechanism, Effectiveness Evidence, and Example</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6"/>
        <w:gridCol w:w="2728"/>
        <w:gridCol w:w="3069"/>
        <w:gridCol w:w="1877"/>
      </w:tblGrid>
      <w:tr w:rsidR="000A2EB2" w14:paraId="0C9BB306" w14:textId="77777777">
        <w:tblPrEx>
          <w:tblCellMar>
            <w:top w:w="0" w:type="dxa"/>
            <w:bottom w:w="0" w:type="dxa"/>
          </w:tblCellMar>
        </w:tblPrEx>
        <w:trPr>
          <w:tblHeader/>
        </w:trPr>
        <w:tc>
          <w:tcPr>
            <w:tcW w:w="2046" w:type="dxa"/>
            <w:shd w:val="clear" w:color="auto" w:fill="D9E2F3"/>
            <w:tcMar>
              <w:top w:w="80" w:type="dxa"/>
              <w:left w:w="100" w:type="dxa"/>
              <w:bottom w:w="80" w:type="dxa"/>
              <w:right w:w="100" w:type="dxa"/>
            </w:tcMar>
            <w:vAlign w:val="center"/>
          </w:tcPr>
          <w:p w14:paraId="10611A4C" w14:textId="77777777" w:rsidR="000A2EB2" w:rsidRDefault="00000000">
            <w:r>
              <w:rPr>
                <w:b/>
                <w:bCs/>
                <w:sz w:val="20"/>
                <w:szCs w:val="20"/>
              </w:rPr>
              <w:t>Defense Tactic</w:t>
            </w:r>
          </w:p>
        </w:tc>
        <w:tc>
          <w:tcPr>
            <w:tcW w:w="2728" w:type="dxa"/>
            <w:shd w:val="clear" w:color="auto" w:fill="D9E2F3"/>
            <w:tcMar>
              <w:top w:w="80" w:type="dxa"/>
              <w:left w:w="100" w:type="dxa"/>
              <w:bottom w:w="80" w:type="dxa"/>
              <w:right w:w="100" w:type="dxa"/>
            </w:tcMar>
            <w:vAlign w:val="center"/>
          </w:tcPr>
          <w:p w14:paraId="783A86D6" w14:textId="77777777" w:rsidR="000A2EB2" w:rsidRDefault="00000000">
            <w:r>
              <w:rPr>
                <w:b/>
                <w:bCs/>
                <w:sz w:val="20"/>
                <w:szCs w:val="20"/>
              </w:rPr>
              <w:t>Mechanism</w:t>
            </w:r>
          </w:p>
        </w:tc>
        <w:tc>
          <w:tcPr>
            <w:tcW w:w="3069" w:type="dxa"/>
            <w:shd w:val="clear" w:color="auto" w:fill="D9E2F3"/>
            <w:tcMar>
              <w:top w:w="80" w:type="dxa"/>
              <w:left w:w="100" w:type="dxa"/>
              <w:bottom w:w="80" w:type="dxa"/>
              <w:right w:w="100" w:type="dxa"/>
            </w:tcMar>
            <w:vAlign w:val="center"/>
          </w:tcPr>
          <w:p w14:paraId="7853A68A" w14:textId="77777777" w:rsidR="000A2EB2" w:rsidRDefault="00000000">
            <w:r>
              <w:rPr>
                <w:b/>
                <w:bCs/>
                <w:sz w:val="20"/>
                <w:szCs w:val="20"/>
              </w:rPr>
              <w:t>Effectiveness Evidence</w:t>
            </w:r>
          </w:p>
        </w:tc>
        <w:tc>
          <w:tcPr>
            <w:tcW w:w="1877" w:type="dxa"/>
            <w:shd w:val="clear" w:color="auto" w:fill="D9E2F3"/>
            <w:tcMar>
              <w:top w:w="80" w:type="dxa"/>
              <w:left w:w="100" w:type="dxa"/>
              <w:bottom w:w="80" w:type="dxa"/>
              <w:right w:w="100" w:type="dxa"/>
            </w:tcMar>
            <w:vAlign w:val="center"/>
          </w:tcPr>
          <w:p w14:paraId="3C29046E" w14:textId="77777777" w:rsidR="000A2EB2" w:rsidRDefault="00000000">
            <w:r>
              <w:rPr>
                <w:b/>
                <w:bCs/>
                <w:sz w:val="20"/>
                <w:szCs w:val="20"/>
              </w:rPr>
              <w:t>Illustrative Example / Use</w:t>
            </w:r>
          </w:p>
        </w:tc>
      </w:tr>
      <w:tr w:rsidR="000A2EB2" w14:paraId="2EAEE03C" w14:textId="77777777">
        <w:tblPrEx>
          <w:tblCellMar>
            <w:top w:w="0" w:type="dxa"/>
            <w:bottom w:w="0" w:type="dxa"/>
          </w:tblCellMar>
        </w:tblPrEx>
        <w:tc>
          <w:tcPr>
            <w:tcW w:w="2046" w:type="dxa"/>
            <w:tcMar>
              <w:top w:w="80" w:type="dxa"/>
              <w:left w:w="100" w:type="dxa"/>
              <w:bottom w:w="80" w:type="dxa"/>
              <w:right w:w="100" w:type="dxa"/>
            </w:tcMar>
            <w:vAlign w:val="center"/>
          </w:tcPr>
          <w:p w14:paraId="4C2FB676" w14:textId="77777777" w:rsidR="000A2EB2" w:rsidRDefault="00000000">
            <w:r>
              <w:rPr>
                <w:sz w:val="20"/>
                <w:szCs w:val="20"/>
              </w:rPr>
              <w:t>Poison pill (shareholder rights plan)</w:t>
            </w:r>
          </w:p>
        </w:tc>
        <w:tc>
          <w:tcPr>
            <w:tcW w:w="2728" w:type="dxa"/>
            <w:tcMar>
              <w:top w:w="80" w:type="dxa"/>
              <w:left w:w="100" w:type="dxa"/>
              <w:bottom w:w="80" w:type="dxa"/>
              <w:right w:w="100" w:type="dxa"/>
            </w:tcMar>
            <w:vAlign w:val="center"/>
          </w:tcPr>
          <w:p w14:paraId="5D779911" w14:textId="77777777" w:rsidR="000A2EB2" w:rsidRDefault="00000000">
            <w:r>
              <w:rPr>
                <w:sz w:val="20"/>
                <w:szCs w:val="20"/>
              </w:rPr>
              <w:t xml:space="preserve">Triggering party's stake is massively diluted once an ownership threshold is </w:t>
            </w:r>
            <w:r>
              <w:rPr>
                <w:sz w:val="20"/>
                <w:szCs w:val="20"/>
              </w:rPr>
              <w:lastRenderedPageBreak/>
              <w:t>crossed, making further accumulation uneconomic</w:t>
            </w:r>
          </w:p>
        </w:tc>
        <w:tc>
          <w:tcPr>
            <w:tcW w:w="3069" w:type="dxa"/>
            <w:tcMar>
              <w:top w:w="80" w:type="dxa"/>
              <w:left w:w="100" w:type="dxa"/>
              <w:bottom w:w="80" w:type="dxa"/>
              <w:right w:w="100" w:type="dxa"/>
            </w:tcMar>
            <w:vAlign w:val="center"/>
          </w:tcPr>
          <w:p w14:paraId="503816F6" w14:textId="77777777" w:rsidR="000A2EB2" w:rsidRDefault="00000000">
            <w:r>
              <w:rPr>
                <w:sz w:val="20"/>
                <w:szCs w:val="20"/>
              </w:rPr>
              <w:lastRenderedPageBreak/>
              <w:t xml:space="preserve">Malatesta &amp; Walkling (1988): adoption associated with negative abnormal returns on average, esp. for entrenched management; </w:t>
            </w:r>
            <w:r>
              <w:rPr>
                <w:sz w:val="20"/>
                <w:szCs w:val="20"/>
              </w:rPr>
              <w:lastRenderedPageBreak/>
              <w:t>modern short-duration "NOL" or activist-specific pills adopted with sunset clauses draw less market penalty</w:t>
            </w:r>
          </w:p>
        </w:tc>
        <w:tc>
          <w:tcPr>
            <w:tcW w:w="1877" w:type="dxa"/>
            <w:tcMar>
              <w:top w:w="80" w:type="dxa"/>
              <w:left w:w="100" w:type="dxa"/>
              <w:bottom w:w="80" w:type="dxa"/>
              <w:right w:w="100" w:type="dxa"/>
            </w:tcMar>
            <w:vAlign w:val="center"/>
          </w:tcPr>
          <w:p w14:paraId="12D5C9E4" w14:textId="77777777" w:rsidR="000A2EB2" w:rsidRDefault="00000000">
            <w:r>
              <w:rPr>
                <w:sz w:val="20"/>
                <w:szCs w:val="20"/>
              </w:rPr>
              <w:lastRenderedPageBreak/>
              <w:t xml:space="preserve">Widely adopted on short notice (a "flip-in" pill) in response to rapid stake </w:t>
            </w:r>
            <w:r>
              <w:rPr>
                <w:sz w:val="20"/>
                <w:szCs w:val="20"/>
              </w:rPr>
              <w:lastRenderedPageBreak/>
              <w:t>accumulation by an activist, often for a limited duration pending a strategic review</w:t>
            </w:r>
          </w:p>
        </w:tc>
      </w:tr>
      <w:tr w:rsidR="000A2EB2" w14:paraId="38D4F50D" w14:textId="77777777">
        <w:tblPrEx>
          <w:tblCellMar>
            <w:top w:w="0" w:type="dxa"/>
            <w:bottom w:w="0" w:type="dxa"/>
          </w:tblCellMar>
        </w:tblPrEx>
        <w:tc>
          <w:tcPr>
            <w:tcW w:w="2046" w:type="dxa"/>
            <w:shd w:val="clear" w:color="auto" w:fill="F2F2F2"/>
            <w:tcMar>
              <w:top w:w="80" w:type="dxa"/>
              <w:left w:w="100" w:type="dxa"/>
              <w:bottom w:w="80" w:type="dxa"/>
              <w:right w:w="100" w:type="dxa"/>
            </w:tcMar>
            <w:vAlign w:val="center"/>
          </w:tcPr>
          <w:p w14:paraId="05DD1E50" w14:textId="77777777" w:rsidR="000A2EB2" w:rsidRDefault="00000000">
            <w:r>
              <w:rPr>
                <w:sz w:val="20"/>
                <w:szCs w:val="20"/>
              </w:rPr>
              <w:lastRenderedPageBreak/>
              <w:t>Staggered (classified) board</w:t>
            </w:r>
          </w:p>
        </w:tc>
        <w:tc>
          <w:tcPr>
            <w:tcW w:w="2728" w:type="dxa"/>
            <w:shd w:val="clear" w:color="auto" w:fill="F2F2F2"/>
            <w:tcMar>
              <w:top w:w="80" w:type="dxa"/>
              <w:left w:w="100" w:type="dxa"/>
              <w:bottom w:w="80" w:type="dxa"/>
              <w:right w:w="100" w:type="dxa"/>
            </w:tcMar>
            <w:vAlign w:val="center"/>
          </w:tcPr>
          <w:p w14:paraId="0EE0A59A" w14:textId="77777777" w:rsidR="000A2EB2" w:rsidRDefault="00000000">
            <w:r>
              <w:rPr>
                <w:sz w:val="20"/>
                <w:szCs w:val="20"/>
              </w:rPr>
              <w:t>Only one-third of directors face election each year; a dissident cannot win board control in a single annual meeting</w:t>
            </w:r>
          </w:p>
        </w:tc>
        <w:tc>
          <w:tcPr>
            <w:tcW w:w="3069" w:type="dxa"/>
            <w:shd w:val="clear" w:color="auto" w:fill="F2F2F2"/>
            <w:tcMar>
              <w:top w:w="80" w:type="dxa"/>
              <w:left w:w="100" w:type="dxa"/>
              <w:bottom w:w="80" w:type="dxa"/>
              <w:right w:w="100" w:type="dxa"/>
            </w:tcMar>
            <w:vAlign w:val="center"/>
          </w:tcPr>
          <w:p w14:paraId="5B3DC3CF" w14:textId="77777777" w:rsidR="000A2EB2" w:rsidRDefault="00000000">
            <w:r>
              <w:rPr>
                <w:sz w:val="20"/>
                <w:szCs w:val="20"/>
              </w:rPr>
              <w:t>Bebchuk, Coates &amp; Subramanian (2002): roughly doubles odds a hostile bid is deterred or requires a materially higher premium; substantially reduces contest success probability</w:t>
            </w:r>
          </w:p>
        </w:tc>
        <w:tc>
          <w:tcPr>
            <w:tcW w:w="1877" w:type="dxa"/>
            <w:shd w:val="clear" w:color="auto" w:fill="F2F2F2"/>
            <w:tcMar>
              <w:top w:w="80" w:type="dxa"/>
              <w:left w:w="100" w:type="dxa"/>
              <w:bottom w:w="80" w:type="dxa"/>
              <w:right w:w="100" w:type="dxa"/>
            </w:tcMar>
            <w:vAlign w:val="center"/>
          </w:tcPr>
          <w:p w14:paraId="6B8DC53F" w14:textId="77777777" w:rsidR="000A2EB2" w:rsidRDefault="00000000">
            <w:r>
              <w:rPr>
                <w:sz w:val="20"/>
                <w:szCs w:val="20"/>
              </w:rPr>
              <w:t>Long-tenured industrial and media companies historically used staggered boards as their primary insulation from both takeovers and activist board contests</w:t>
            </w:r>
          </w:p>
        </w:tc>
      </w:tr>
      <w:tr w:rsidR="000A2EB2" w14:paraId="7BD925F1" w14:textId="77777777">
        <w:tblPrEx>
          <w:tblCellMar>
            <w:top w:w="0" w:type="dxa"/>
            <w:bottom w:w="0" w:type="dxa"/>
          </w:tblCellMar>
        </w:tblPrEx>
        <w:tc>
          <w:tcPr>
            <w:tcW w:w="2046" w:type="dxa"/>
            <w:tcMar>
              <w:top w:w="80" w:type="dxa"/>
              <w:left w:w="100" w:type="dxa"/>
              <w:bottom w:w="80" w:type="dxa"/>
              <w:right w:w="100" w:type="dxa"/>
            </w:tcMar>
            <w:vAlign w:val="center"/>
          </w:tcPr>
          <w:p w14:paraId="5CC9D49A" w14:textId="77777777" w:rsidR="000A2EB2" w:rsidRDefault="00000000">
            <w:r>
              <w:rPr>
                <w:sz w:val="20"/>
                <w:szCs w:val="20"/>
              </w:rPr>
              <w:t>Advance notice bylaws</w:t>
            </w:r>
          </w:p>
        </w:tc>
        <w:tc>
          <w:tcPr>
            <w:tcW w:w="2728" w:type="dxa"/>
            <w:tcMar>
              <w:top w:w="80" w:type="dxa"/>
              <w:left w:w="100" w:type="dxa"/>
              <w:bottom w:w="80" w:type="dxa"/>
              <w:right w:w="100" w:type="dxa"/>
            </w:tcMar>
            <w:vAlign w:val="center"/>
          </w:tcPr>
          <w:p w14:paraId="45EE12D4" w14:textId="77777777" w:rsidR="000A2EB2" w:rsidRDefault="00000000">
            <w:r>
              <w:rPr>
                <w:sz w:val="20"/>
                <w:szCs w:val="20"/>
              </w:rPr>
              <w:t>Requires detailed nomination notice 90–120 days ahead of the meeting, with extensive disclosure of nominee and economic interests</w:t>
            </w:r>
          </w:p>
        </w:tc>
        <w:tc>
          <w:tcPr>
            <w:tcW w:w="3069" w:type="dxa"/>
            <w:tcMar>
              <w:top w:w="80" w:type="dxa"/>
              <w:left w:w="100" w:type="dxa"/>
              <w:bottom w:w="80" w:type="dxa"/>
              <w:right w:w="100" w:type="dxa"/>
            </w:tcMar>
            <w:vAlign w:val="center"/>
          </w:tcPr>
          <w:p w14:paraId="595524A8" w14:textId="77777777" w:rsidR="000A2EB2" w:rsidRDefault="00000000">
            <w:r>
              <w:rPr>
                <w:sz w:val="20"/>
                <w:szCs w:val="20"/>
              </w:rPr>
              <w:t>Less directly quantified in the academic literature than pills or staggered boards, but widely used by practitioners to compress activist timelines and create technical disqualification risk</w:t>
            </w:r>
          </w:p>
        </w:tc>
        <w:tc>
          <w:tcPr>
            <w:tcW w:w="1877" w:type="dxa"/>
            <w:tcMar>
              <w:top w:w="80" w:type="dxa"/>
              <w:left w:w="100" w:type="dxa"/>
              <w:bottom w:w="80" w:type="dxa"/>
              <w:right w:w="100" w:type="dxa"/>
            </w:tcMar>
            <w:vAlign w:val="center"/>
          </w:tcPr>
          <w:p w14:paraId="326C3279" w14:textId="77777777" w:rsidR="000A2EB2" w:rsidRDefault="00000000">
            <w:r>
              <w:rPr>
                <w:sz w:val="20"/>
                <w:szCs w:val="20"/>
              </w:rPr>
              <w:t>Boards frequently tighten advance-notice bylaws proactively after observing elevated activist attention on sector peers</w:t>
            </w:r>
          </w:p>
        </w:tc>
      </w:tr>
    </w:tbl>
    <w:p w14:paraId="54919486" w14:textId="77777777" w:rsidR="000A2EB2" w:rsidRDefault="00000000">
      <w:pPr>
        <w:spacing w:before="60" w:after="240"/>
      </w:pPr>
      <w:r>
        <w:rPr>
          <w:i/>
          <w:iCs/>
          <w:color w:val="555555"/>
          <w:sz w:val="20"/>
          <w:szCs w:val="20"/>
        </w:rPr>
        <w:t>Sources: Malatesta &amp; Walkling (1988), Journal of Financial Economics; Bebchuk, Coates &amp; Subramanian (2002), Stanford Law Review.</w:t>
      </w:r>
    </w:p>
    <w:p w14:paraId="6FFBA9D3" w14:textId="77777777" w:rsidR="000A2EB2" w:rsidRDefault="00000000">
      <w:r>
        <w:br w:type="page"/>
      </w:r>
    </w:p>
    <w:p w14:paraId="24AEF8FE" w14:textId="77777777" w:rsidR="000A2EB2" w:rsidRDefault="00000000">
      <w:pPr>
        <w:pStyle w:val="Heading1"/>
        <w:spacing w:before="360" w:after="180"/>
      </w:pPr>
      <w:r>
        <w:lastRenderedPageBreak/>
        <w:t>Part V — Theory Summary</w:t>
      </w:r>
    </w:p>
    <w:p w14:paraId="6792ED21" w14:textId="77777777" w:rsidR="000A2EB2" w:rsidRDefault="00000000">
      <w:pPr>
        <w:pStyle w:val="Heading3"/>
        <w:spacing w:before="200" w:after="100"/>
      </w:pPr>
      <w:r>
        <w:t>Table 4 — Theory Summary: Theory, Author/Year, Core Claim, Application</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16"/>
        <w:gridCol w:w="2216"/>
        <w:gridCol w:w="2898"/>
        <w:gridCol w:w="2390"/>
      </w:tblGrid>
      <w:tr w:rsidR="000A2EB2" w14:paraId="52DF080C" w14:textId="77777777">
        <w:tblPrEx>
          <w:tblCellMar>
            <w:top w:w="0" w:type="dxa"/>
            <w:bottom w:w="0" w:type="dxa"/>
          </w:tblCellMar>
        </w:tblPrEx>
        <w:trPr>
          <w:tblHeader/>
        </w:trPr>
        <w:tc>
          <w:tcPr>
            <w:tcW w:w="2216" w:type="dxa"/>
            <w:shd w:val="clear" w:color="auto" w:fill="D9E2F3"/>
            <w:tcMar>
              <w:top w:w="80" w:type="dxa"/>
              <w:left w:w="100" w:type="dxa"/>
              <w:bottom w:w="80" w:type="dxa"/>
              <w:right w:w="100" w:type="dxa"/>
            </w:tcMar>
            <w:vAlign w:val="center"/>
          </w:tcPr>
          <w:p w14:paraId="0AA0086C" w14:textId="77777777" w:rsidR="000A2EB2" w:rsidRDefault="00000000">
            <w:r>
              <w:rPr>
                <w:b/>
                <w:bCs/>
                <w:sz w:val="20"/>
                <w:szCs w:val="20"/>
              </w:rPr>
              <w:t>Theory</w:t>
            </w:r>
          </w:p>
        </w:tc>
        <w:tc>
          <w:tcPr>
            <w:tcW w:w="2216" w:type="dxa"/>
            <w:shd w:val="clear" w:color="auto" w:fill="D9E2F3"/>
            <w:tcMar>
              <w:top w:w="80" w:type="dxa"/>
              <w:left w:w="100" w:type="dxa"/>
              <w:bottom w:w="80" w:type="dxa"/>
              <w:right w:w="100" w:type="dxa"/>
            </w:tcMar>
            <w:vAlign w:val="center"/>
          </w:tcPr>
          <w:p w14:paraId="386FCD42" w14:textId="77777777" w:rsidR="000A2EB2" w:rsidRDefault="00000000">
            <w:r>
              <w:rPr>
                <w:b/>
                <w:bCs/>
                <w:sz w:val="20"/>
                <w:szCs w:val="20"/>
              </w:rPr>
              <w:t>Author / Year</w:t>
            </w:r>
          </w:p>
        </w:tc>
        <w:tc>
          <w:tcPr>
            <w:tcW w:w="2898" w:type="dxa"/>
            <w:shd w:val="clear" w:color="auto" w:fill="D9E2F3"/>
            <w:tcMar>
              <w:top w:w="80" w:type="dxa"/>
              <w:left w:w="100" w:type="dxa"/>
              <w:bottom w:w="80" w:type="dxa"/>
              <w:right w:w="100" w:type="dxa"/>
            </w:tcMar>
            <w:vAlign w:val="center"/>
          </w:tcPr>
          <w:p w14:paraId="34223565" w14:textId="77777777" w:rsidR="000A2EB2" w:rsidRDefault="00000000">
            <w:r>
              <w:rPr>
                <w:b/>
                <w:bCs/>
                <w:sz w:val="20"/>
                <w:szCs w:val="20"/>
              </w:rPr>
              <w:t>Core Claim</w:t>
            </w:r>
          </w:p>
        </w:tc>
        <w:tc>
          <w:tcPr>
            <w:tcW w:w="2390" w:type="dxa"/>
            <w:shd w:val="clear" w:color="auto" w:fill="D9E2F3"/>
            <w:tcMar>
              <w:top w:w="80" w:type="dxa"/>
              <w:left w:w="100" w:type="dxa"/>
              <w:bottom w:w="80" w:type="dxa"/>
              <w:right w:w="100" w:type="dxa"/>
            </w:tcMar>
            <w:vAlign w:val="center"/>
          </w:tcPr>
          <w:p w14:paraId="1F67240F" w14:textId="77777777" w:rsidR="000A2EB2" w:rsidRDefault="00000000">
            <w:r>
              <w:rPr>
                <w:b/>
                <w:bCs/>
                <w:sz w:val="20"/>
                <w:szCs w:val="20"/>
              </w:rPr>
              <w:t>Application to Activism</w:t>
            </w:r>
          </w:p>
        </w:tc>
      </w:tr>
      <w:tr w:rsidR="000A2EB2" w14:paraId="7EFF5602" w14:textId="77777777">
        <w:tblPrEx>
          <w:tblCellMar>
            <w:top w:w="0" w:type="dxa"/>
            <w:bottom w:w="0" w:type="dxa"/>
          </w:tblCellMar>
        </w:tblPrEx>
        <w:tc>
          <w:tcPr>
            <w:tcW w:w="2216" w:type="dxa"/>
            <w:tcMar>
              <w:top w:w="80" w:type="dxa"/>
              <w:left w:w="100" w:type="dxa"/>
              <w:bottom w:w="80" w:type="dxa"/>
              <w:right w:w="100" w:type="dxa"/>
            </w:tcMar>
            <w:vAlign w:val="center"/>
          </w:tcPr>
          <w:p w14:paraId="5144A1D4" w14:textId="77777777" w:rsidR="000A2EB2" w:rsidRDefault="00000000">
            <w:r>
              <w:rPr>
                <w:sz w:val="20"/>
                <w:szCs w:val="20"/>
              </w:rPr>
              <w:t>Activism announcement returns and outcomes</w:t>
            </w:r>
          </w:p>
        </w:tc>
        <w:tc>
          <w:tcPr>
            <w:tcW w:w="2216" w:type="dxa"/>
            <w:tcMar>
              <w:top w:w="80" w:type="dxa"/>
              <w:left w:w="100" w:type="dxa"/>
              <w:bottom w:w="80" w:type="dxa"/>
              <w:right w:w="100" w:type="dxa"/>
            </w:tcMar>
            <w:vAlign w:val="center"/>
          </w:tcPr>
          <w:p w14:paraId="51012A51" w14:textId="77777777" w:rsidR="000A2EB2" w:rsidRDefault="00000000">
            <w:r>
              <w:rPr>
                <w:sz w:val="20"/>
                <w:szCs w:val="20"/>
              </w:rPr>
              <w:t>Brav, Jiang, Partnoy &amp; Thomas (2008), Journal of Finance</w:t>
            </w:r>
          </w:p>
        </w:tc>
        <w:tc>
          <w:tcPr>
            <w:tcW w:w="2898" w:type="dxa"/>
            <w:tcMar>
              <w:top w:w="80" w:type="dxa"/>
              <w:left w:w="100" w:type="dxa"/>
              <w:bottom w:w="80" w:type="dxa"/>
              <w:right w:w="100" w:type="dxa"/>
            </w:tcMar>
            <w:vAlign w:val="center"/>
          </w:tcPr>
          <w:p w14:paraId="34C13946" w14:textId="77777777" w:rsidR="000A2EB2" w:rsidRDefault="00000000">
            <w:r>
              <w:rPr>
                <w:sz w:val="20"/>
                <w:szCs w:val="20"/>
              </w:rPr>
              <w:t>Activist 13D filings generate ~7% abnormal announcement returns with no reversal; targets show improved payout and CEO turnover</w:t>
            </w:r>
          </w:p>
        </w:tc>
        <w:tc>
          <w:tcPr>
            <w:tcW w:w="2390" w:type="dxa"/>
            <w:tcMar>
              <w:top w:w="80" w:type="dxa"/>
              <w:left w:w="100" w:type="dxa"/>
              <w:bottom w:w="80" w:type="dxa"/>
              <w:right w:w="100" w:type="dxa"/>
            </w:tcMar>
            <w:vAlign w:val="center"/>
          </w:tcPr>
          <w:p w14:paraId="73BEEFB8" w14:textId="77777777" w:rsidR="000A2EB2" w:rsidRDefault="00000000">
            <w:r>
              <w:rPr>
                <w:sz w:val="20"/>
                <w:szCs w:val="20"/>
              </w:rPr>
              <w:t>Anchors the pro-activism empirical case: the market treats activist involvement as a credible positive signal, not noise</w:t>
            </w:r>
          </w:p>
        </w:tc>
      </w:tr>
      <w:tr w:rsidR="000A2EB2" w14:paraId="6B5777B5" w14:textId="77777777">
        <w:tblPrEx>
          <w:tblCellMar>
            <w:top w:w="0" w:type="dxa"/>
            <w:bottom w:w="0" w:type="dxa"/>
          </w:tblCellMar>
        </w:tblPrEx>
        <w:tc>
          <w:tcPr>
            <w:tcW w:w="2216" w:type="dxa"/>
            <w:shd w:val="clear" w:color="auto" w:fill="F2F2F2"/>
            <w:tcMar>
              <w:top w:w="80" w:type="dxa"/>
              <w:left w:w="100" w:type="dxa"/>
              <w:bottom w:w="80" w:type="dxa"/>
              <w:right w:w="100" w:type="dxa"/>
            </w:tcMar>
            <w:vAlign w:val="center"/>
          </w:tcPr>
          <w:p w14:paraId="249387C9" w14:textId="77777777" w:rsidR="000A2EB2" w:rsidRDefault="00000000">
            <w:r>
              <w:rPr>
                <w:sz w:val="20"/>
                <w:szCs w:val="20"/>
              </w:rPr>
              <w:t>Costs of escalation</w:t>
            </w:r>
          </w:p>
        </w:tc>
        <w:tc>
          <w:tcPr>
            <w:tcW w:w="2216" w:type="dxa"/>
            <w:shd w:val="clear" w:color="auto" w:fill="F2F2F2"/>
            <w:tcMar>
              <w:top w:w="80" w:type="dxa"/>
              <w:left w:w="100" w:type="dxa"/>
              <w:bottom w:w="80" w:type="dxa"/>
              <w:right w:w="100" w:type="dxa"/>
            </w:tcMar>
            <w:vAlign w:val="center"/>
          </w:tcPr>
          <w:p w14:paraId="4ACCE3A4" w14:textId="77777777" w:rsidR="000A2EB2" w:rsidRDefault="00000000">
            <w:r>
              <w:rPr>
                <w:sz w:val="20"/>
                <w:szCs w:val="20"/>
              </w:rPr>
              <w:t>Gantchev (2013), Journal of Financial Economics</w:t>
            </w:r>
          </w:p>
        </w:tc>
        <w:tc>
          <w:tcPr>
            <w:tcW w:w="2898" w:type="dxa"/>
            <w:shd w:val="clear" w:color="auto" w:fill="F2F2F2"/>
            <w:tcMar>
              <w:top w:w="80" w:type="dxa"/>
              <w:left w:w="100" w:type="dxa"/>
              <w:bottom w:w="80" w:type="dxa"/>
              <w:right w:w="100" w:type="dxa"/>
            </w:tcMar>
            <w:vAlign w:val="center"/>
          </w:tcPr>
          <w:p w14:paraId="3145D834" w14:textId="77777777" w:rsidR="000A2EB2" w:rsidRDefault="00000000">
            <w:r>
              <w:rPr>
                <w:sz w:val="20"/>
                <w:szCs w:val="20"/>
              </w:rPr>
              <w:t>Escalating from private engagement to a full proxy fight is costly (avg. ~$10.7M per full contest) and activists rationally choose whether to escalate</w:t>
            </w:r>
          </w:p>
        </w:tc>
        <w:tc>
          <w:tcPr>
            <w:tcW w:w="2390" w:type="dxa"/>
            <w:shd w:val="clear" w:color="auto" w:fill="F2F2F2"/>
            <w:tcMar>
              <w:top w:w="80" w:type="dxa"/>
              <w:left w:w="100" w:type="dxa"/>
              <w:bottom w:w="80" w:type="dxa"/>
              <w:right w:w="100" w:type="dxa"/>
            </w:tcMar>
            <w:vAlign w:val="center"/>
          </w:tcPr>
          <w:p w14:paraId="5F84239F" w14:textId="77777777" w:rsidR="000A2EB2" w:rsidRDefault="00000000">
            <w:r>
              <w:rPr>
                <w:sz w:val="20"/>
                <w:szCs w:val="20"/>
              </w:rPr>
              <w:t>Explains why most campaigns settle rather than go to a vote, and why falling 2026 success rates reflect harder board resistance, not random noise</w:t>
            </w:r>
          </w:p>
        </w:tc>
      </w:tr>
      <w:tr w:rsidR="000A2EB2" w14:paraId="06FA24ED" w14:textId="77777777">
        <w:tblPrEx>
          <w:tblCellMar>
            <w:top w:w="0" w:type="dxa"/>
            <w:bottom w:w="0" w:type="dxa"/>
          </w:tblCellMar>
        </w:tblPrEx>
        <w:tc>
          <w:tcPr>
            <w:tcW w:w="2216" w:type="dxa"/>
            <w:tcMar>
              <w:top w:w="80" w:type="dxa"/>
              <w:left w:w="100" w:type="dxa"/>
              <w:bottom w:w="80" w:type="dxa"/>
              <w:right w:w="100" w:type="dxa"/>
            </w:tcMar>
            <w:vAlign w:val="center"/>
          </w:tcPr>
          <w:p w14:paraId="159838A4" w14:textId="77777777" w:rsidR="000A2EB2" w:rsidRDefault="00000000">
            <w:r>
              <w:rPr>
                <w:sz w:val="20"/>
                <w:szCs w:val="20"/>
              </w:rPr>
              <w:t>Free-rider problem in monitoring / takeovers</w:t>
            </w:r>
          </w:p>
        </w:tc>
        <w:tc>
          <w:tcPr>
            <w:tcW w:w="2216" w:type="dxa"/>
            <w:tcMar>
              <w:top w:w="80" w:type="dxa"/>
              <w:left w:w="100" w:type="dxa"/>
              <w:bottom w:w="80" w:type="dxa"/>
              <w:right w:w="100" w:type="dxa"/>
            </w:tcMar>
            <w:vAlign w:val="center"/>
          </w:tcPr>
          <w:p w14:paraId="0BC1B5FC" w14:textId="77777777" w:rsidR="000A2EB2" w:rsidRDefault="00000000">
            <w:r>
              <w:rPr>
                <w:sz w:val="20"/>
                <w:szCs w:val="20"/>
              </w:rPr>
              <w:t>Grossman &amp; Hart (1980)</w:t>
            </w:r>
          </w:p>
        </w:tc>
        <w:tc>
          <w:tcPr>
            <w:tcW w:w="2898" w:type="dxa"/>
            <w:tcMar>
              <w:top w:w="80" w:type="dxa"/>
              <w:left w:w="100" w:type="dxa"/>
              <w:bottom w:w="80" w:type="dxa"/>
              <w:right w:w="100" w:type="dxa"/>
            </w:tcMar>
            <w:vAlign w:val="center"/>
          </w:tcPr>
          <w:p w14:paraId="216F4630" w14:textId="77777777" w:rsidR="000A2EB2" w:rsidRDefault="00000000">
            <w:r>
              <w:rPr>
                <w:sz w:val="20"/>
                <w:szCs w:val="20"/>
              </w:rPr>
              <w:t>Dispersed shareholders under-invest in costly monitoring/tender decisions because gains accrue pro rata to non-participants</w:t>
            </w:r>
          </w:p>
        </w:tc>
        <w:tc>
          <w:tcPr>
            <w:tcW w:w="2390" w:type="dxa"/>
            <w:tcMar>
              <w:top w:w="80" w:type="dxa"/>
              <w:left w:w="100" w:type="dxa"/>
              <w:bottom w:w="80" w:type="dxa"/>
              <w:right w:w="100" w:type="dxa"/>
            </w:tcMar>
            <w:vAlign w:val="center"/>
          </w:tcPr>
          <w:p w14:paraId="44E45769" w14:textId="77777777" w:rsidR="000A2EB2" w:rsidRDefault="00000000">
            <w:r>
              <w:rPr>
                <w:sz w:val="20"/>
                <w:szCs w:val="20"/>
              </w:rPr>
              <w:t>Explains why activism is a specialized, concentrated-stake business rather than something diffuse shareholders do themselves — and why concentrated (family/state) ownership structures largely eliminate the underlying problem</w:t>
            </w:r>
          </w:p>
        </w:tc>
      </w:tr>
    </w:tbl>
    <w:p w14:paraId="45673A0A" w14:textId="77777777" w:rsidR="000A2EB2" w:rsidRDefault="000A2EB2">
      <w:pPr>
        <w:spacing w:after="200"/>
      </w:pPr>
    </w:p>
    <w:p w14:paraId="242A7657" w14:textId="77777777" w:rsidR="000A2EB2" w:rsidRDefault="00000000">
      <w:r>
        <w:br w:type="page"/>
      </w:r>
    </w:p>
    <w:p w14:paraId="0C0A9FE1" w14:textId="77777777" w:rsidR="000A2EB2" w:rsidRDefault="00000000">
      <w:pPr>
        <w:pStyle w:val="Heading1"/>
        <w:spacing w:before="360" w:after="180"/>
      </w:pPr>
      <w:r>
        <w:lastRenderedPageBreak/>
        <w:t>Part VI — Turkish Holding Companies: Activism-Resistant by Structure?</w:t>
      </w:r>
    </w:p>
    <w:p w14:paraId="0EA43E07" w14:textId="77777777" w:rsidR="000A2EB2" w:rsidRDefault="00000000">
      <w:pPr>
        <w:spacing w:after="160"/>
      </w:pPr>
      <w:r>
        <w:t>Turkey's largest listed groups — Koç Holding, Sabancı Holding, and Türk Hava Yolları (Turkish Airlines, THY) — sit at the opposite end of the ownership-concentration spectrum from the dispersed-ownership U.S. and U.K. targets that dominate the global activism datasets above. Grossman &amp; Hart's (1980) free-rider logic implies directly that where ownership is already concentrated in the hands of a controlling family or the state, the coordination failure that makes external activist intervention valuable simply does not arise in the same way: the controlling shareholder already internalizes the great majority of any value-creation gain, and has both the incentive and the voting power to force change unilaterally, without needing a hedge fund to do it for them.</w:t>
      </w:r>
    </w:p>
    <w:p w14:paraId="4DEC4A5D" w14:textId="77777777" w:rsidR="000A2EB2" w:rsidRDefault="00000000">
      <w:pPr>
        <w:pStyle w:val="Heading2"/>
        <w:spacing w:before="260"/>
      </w:pPr>
      <w:r>
        <w:t>6.1 Koç Holding</w:t>
      </w:r>
    </w:p>
    <w:p w14:paraId="7CEDB7FC" w14:textId="77777777" w:rsidR="000A2EB2" w:rsidRDefault="00000000">
      <w:pPr>
        <w:spacing w:after="160"/>
      </w:pPr>
      <w:r>
        <w:t>Koç Holding's ownership, per its investor-relations disclosures (as of 31 December 2024), is dominated by the Koç family holding vehicle (Family Danışmanlık Gayrimenkul ve Ticaret A.Ş., 43.7%), individual Koç family members (18.3%), and the Vehbi Koç Foundation (7.3%), for an aggregate family-linked control position of approximately 63.4%; free float is approximately 26.9%. Koç also operates a dual-class share structure (A shares carrying two votes, B shares one), which concentrates voting control at roughly 55.6% for the family holding vehicle alone — well above even its cash-flow ownership stake. This dual mechanism (majority economic ownership plus super-voting shares) makes an external board-seat contest close to structurally impossible: even a well-resourced activist accumulating the entire free float could not assemble a voting majority.</w:t>
      </w:r>
    </w:p>
    <w:p w14:paraId="46B83575" w14:textId="77777777" w:rsidR="000A2EB2" w:rsidRDefault="00000000">
      <w:pPr>
        <w:pStyle w:val="Heading2"/>
        <w:spacing w:before="260"/>
      </w:pPr>
      <w:r>
        <w:t>6.2 Sabancı Holding</w:t>
      </w:r>
    </w:p>
    <w:p w14:paraId="23E7AD89" w14:textId="77777777" w:rsidR="000A2EB2" w:rsidRDefault="00000000">
      <w:pPr>
        <w:spacing w:after="160"/>
      </w:pPr>
      <w:r>
        <w:t>Sabancı Holding presents a partially different picture: the Sabancı family and family-linked entities/foundations retain control, but the company's actual free float (approximately 53.2%, per its investor-relations shareholder-structure disclosures) is unusually high for a Borsa Istanbul holding company — well above the roughly 27.5% BIST average cited in its own investor materials. A high free float is a necessary but not sufficient condition for activism exposure: it means a larger pool of shares is available for an activist to accumulate a meaningful stake, but the Sabancı family's retained control block and Board influence (illustrated by governance milestones such as the March 2025 appointment of Hayri Çulhacı as the first non-family Chair &amp; Managing Director, itself a family-initiated governance modernization rather than an activist-forced concession) suggest the family continues to set the pace of governance change voluntarily rather than under external pressure.</w:t>
      </w:r>
    </w:p>
    <w:p w14:paraId="09F9270E" w14:textId="77777777" w:rsidR="000A2EB2" w:rsidRDefault="00000000">
      <w:pPr>
        <w:pStyle w:val="Heading2"/>
        <w:spacing w:before="260"/>
      </w:pPr>
      <w:r>
        <w:t>6.3 Türk Hava Yolları (Turkish Airlines / THY)</w:t>
      </w:r>
    </w:p>
    <w:p w14:paraId="365C0619" w14:textId="77777777" w:rsidR="000A2EB2" w:rsidRDefault="00000000">
      <w:pPr>
        <w:spacing w:after="160"/>
      </w:pPr>
      <w:r>
        <w:t xml:space="preserve">THY is a distinctive case: a partially privatized state enterprise in which the Türkiye Wealth Fund (Türkiye Varlık Fonu, TVF) holds the historical Treasury stake — approximately 49.12% per third-party compilations, pending confirmation against THY's official KAP/general-assembly ownership table — with the remaining approximately 50.88% held as free float. Unlike a family-controlled holding company, THY's controlling shareholder is a sovereign wealth vehicle whose objectives (national flag-carrier strategic considerations, geopolitical positioning, employment policy) are not purely financial-return-maximizing in the way a private </w:t>
      </w:r>
      <w:r>
        <w:lastRenderedPageBreak/>
        <w:t>equity or activist fund's objectives are. This materially changes the activism calculus: even with a free float exceeding 50%, an activist targeting THY would face not just a large blocking stake but a state actor for whom control is a matter of national strategic policy, not portfolio return — a form of entrenchment against activism that operates through political rather than purely economic logic.</w:t>
      </w:r>
    </w:p>
    <w:p w14:paraId="0362C7E6" w14:textId="77777777" w:rsidR="000A2EB2" w:rsidRDefault="00000000">
      <w:pPr>
        <w:pStyle w:val="Heading3"/>
        <w:spacing w:before="200" w:after="100"/>
      </w:pPr>
      <w:r>
        <w:t>Table 5 — Turkish Ownership Concentration vs. Activism-Vulnerability Comparison</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5"/>
        <w:gridCol w:w="3069"/>
        <w:gridCol w:w="1534"/>
        <w:gridCol w:w="3242"/>
      </w:tblGrid>
      <w:tr w:rsidR="000A2EB2" w14:paraId="3409A70E" w14:textId="77777777">
        <w:tblPrEx>
          <w:tblCellMar>
            <w:top w:w="0" w:type="dxa"/>
            <w:bottom w:w="0" w:type="dxa"/>
          </w:tblCellMar>
        </w:tblPrEx>
        <w:trPr>
          <w:tblHeader/>
        </w:trPr>
        <w:tc>
          <w:tcPr>
            <w:tcW w:w="1875" w:type="dxa"/>
            <w:shd w:val="clear" w:color="auto" w:fill="D9E2F3"/>
            <w:tcMar>
              <w:top w:w="80" w:type="dxa"/>
              <w:left w:w="100" w:type="dxa"/>
              <w:bottom w:w="80" w:type="dxa"/>
              <w:right w:w="100" w:type="dxa"/>
            </w:tcMar>
            <w:vAlign w:val="center"/>
          </w:tcPr>
          <w:p w14:paraId="7F9B7BB9" w14:textId="77777777" w:rsidR="000A2EB2" w:rsidRDefault="00000000">
            <w:r>
              <w:rPr>
                <w:b/>
                <w:bCs/>
                <w:sz w:val="20"/>
                <w:szCs w:val="20"/>
              </w:rPr>
              <w:t>Company</w:t>
            </w:r>
          </w:p>
        </w:tc>
        <w:tc>
          <w:tcPr>
            <w:tcW w:w="3069" w:type="dxa"/>
            <w:shd w:val="clear" w:color="auto" w:fill="D9E2F3"/>
            <w:tcMar>
              <w:top w:w="80" w:type="dxa"/>
              <w:left w:w="100" w:type="dxa"/>
              <w:bottom w:w="80" w:type="dxa"/>
              <w:right w:w="100" w:type="dxa"/>
            </w:tcMar>
            <w:vAlign w:val="center"/>
          </w:tcPr>
          <w:p w14:paraId="0AE658C1" w14:textId="77777777" w:rsidR="000A2EB2" w:rsidRDefault="00000000">
            <w:r>
              <w:rPr>
                <w:b/>
                <w:bCs/>
                <w:sz w:val="20"/>
                <w:szCs w:val="20"/>
              </w:rPr>
              <w:t>Controlling Ownership Structure</w:t>
            </w:r>
          </w:p>
        </w:tc>
        <w:tc>
          <w:tcPr>
            <w:tcW w:w="1534" w:type="dxa"/>
            <w:shd w:val="clear" w:color="auto" w:fill="D9E2F3"/>
            <w:tcMar>
              <w:top w:w="80" w:type="dxa"/>
              <w:left w:w="100" w:type="dxa"/>
              <w:bottom w:w="80" w:type="dxa"/>
              <w:right w:w="100" w:type="dxa"/>
            </w:tcMar>
            <w:vAlign w:val="center"/>
          </w:tcPr>
          <w:p w14:paraId="41E790FF" w14:textId="77777777" w:rsidR="000A2EB2" w:rsidRDefault="00000000">
            <w:r>
              <w:rPr>
                <w:b/>
                <w:bCs/>
                <w:sz w:val="20"/>
                <w:szCs w:val="20"/>
              </w:rPr>
              <w:t>Free Float</w:t>
            </w:r>
          </w:p>
        </w:tc>
        <w:tc>
          <w:tcPr>
            <w:tcW w:w="3242" w:type="dxa"/>
            <w:shd w:val="clear" w:color="auto" w:fill="D9E2F3"/>
            <w:tcMar>
              <w:top w:w="80" w:type="dxa"/>
              <w:left w:w="100" w:type="dxa"/>
              <w:bottom w:w="80" w:type="dxa"/>
              <w:right w:w="100" w:type="dxa"/>
            </w:tcMar>
            <w:vAlign w:val="center"/>
          </w:tcPr>
          <w:p w14:paraId="6BB258E8" w14:textId="77777777" w:rsidR="000A2EB2" w:rsidRDefault="00000000">
            <w:r>
              <w:rPr>
                <w:b/>
                <w:bCs/>
                <w:sz w:val="20"/>
                <w:szCs w:val="20"/>
              </w:rPr>
              <w:t>Activism-Vulnerability Assessment</w:t>
            </w:r>
          </w:p>
        </w:tc>
      </w:tr>
      <w:tr w:rsidR="000A2EB2" w14:paraId="6D749BED" w14:textId="77777777">
        <w:tblPrEx>
          <w:tblCellMar>
            <w:top w:w="0" w:type="dxa"/>
            <w:bottom w:w="0" w:type="dxa"/>
          </w:tblCellMar>
        </w:tblPrEx>
        <w:tc>
          <w:tcPr>
            <w:tcW w:w="1875" w:type="dxa"/>
            <w:tcMar>
              <w:top w:w="80" w:type="dxa"/>
              <w:left w:w="100" w:type="dxa"/>
              <w:bottom w:w="80" w:type="dxa"/>
              <w:right w:w="100" w:type="dxa"/>
            </w:tcMar>
            <w:vAlign w:val="center"/>
          </w:tcPr>
          <w:p w14:paraId="715A97C7" w14:textId="77777777" w:rsidR="000A2EB2" w:rsidRDefault="00000000">
            <w:r>
              <w:rPr>
                <w:sz w:val="20"/>
                <w:szCs w:val="20"/>
              </w:rPr>
              <w:t>Koç Holding</w:t>
            </w:r>
          </w:p>
        </w:tc>
        <w:tc>
          <w:tcPr>
            <w:tcW w:w="3069" w:type="dxa"/>
            <w:tcMar>
              <w:top w:w="80" w:type="dxa"/>
              <w:left w:w="100" w:type="dxa"/>
              <w:bottom w:w="80" w:type="dxa"/>
              <w:right w:w="100" w:type="dxa"/>
            </w:tcMar>
            <w:vAlign w:val="center"/>
          </w:tcPr>
          <w:p w14:paraId="3B7DA960" w14:textId="77777777" w:rsidR="000A2EB2" w:rsidRDefault="00000000">
            <w:r>
              <w:rPr>
                <w:sz w:val="20"/>
                <w:szCs w:val="20"/>
              </w:rPr>
              <w:t>Family holding vehicle + family members + foundation ≈ 63.4% economic ownership; dual-class shares concentrate ≈ 55.6% of voting rights in the family holding vehicle alone</w:t>
            </w:r>
          </w:p>
        </w:tc>
        <w:tc>
          <w:tcPr>
            <w:tcW w:w="1534" w:type="dxa"/>
            <w:tcMar>
              <w:top w:w="80" w:type="dxa"/>
              <w:left w:w="100" w:type="dxa"/>
              <w:bottom w:w="80" w:type="dxa"/>
              <w:right w:w="100" w:type="dxa"/>
            </w:tcMar>
            <w:vAlign w:val="center"/>
          </w:tcPr>
          <w:p w14:paraId="5ED799EC" w14:textId="77777777" w:rsidR="000A2EB2" w:rsidRDefault="00000000">
            <w:r>
              <w:rPr>
                <w:sz w:val="20"/>
                <w:szCs w:val="20"/>
              </w:rPr>
              <w:t>≈ 26.9%</w:t>
            </w:r>
          </w:p>
        </w:tc>
        <w:tc>
          <w:tcPr>
            <w:tcW w:w="3242" w:type="dxa"/>
            <w:tcMar>
              <w:top w:w="80" w:type="dxa"/>
              <w:left w:w="100" w:type="dxa"/>
              <w:bottom w:w="80" w:type="dxa"/>
              <w:right w:w="100" w:type="dxa"/>
            </w:tcMar>
            <w:vAlign w:val="center"/>
          </w:tcPr>
          <w:p w14:paraId="1038C89B" w14:textId="77777777" w:rsidR="000A2EB2" w:rsidRDefault="00000000">
            <w:r>
              <w:rPr>
                <w:sz w:val="20"/>
                <w:szCs w:val="20"/>
              </w:rPr>
              <w:t>Very low. Dual-class voting structure makes a board-seat contest close to mathematically impossible even with full free-float accumulation; family sets pace of any strategic change (e.g., listed-subsidiary NAV-discount narrowing) voluntarily</w:t>
            </w:r>
          </w:p>
        </w:tc>
      </w:tr>
      <w:tr w:rsidR="000A2EB2" w14:paraId="58A9AA7D" w14:textId="77777777">
        <w:tblPrEx>
          <w:tblCellMar>
            <w:top w:w="0" w:type="dxa"/>
            <w:bottom w:w="0" w:type="dxa"/>
          </w:tblCellMar>
        </w:tblPrEx>
        <w:tc>
          <w:tcPr>
            <w:tcW w:w="1875" w:type="dxa"/>
            <w:shd w:val="clear" w:color="auto" w:fill="F2F2F2"/>
            <w:tcMar>
              <w:top w:w="80" w:type="dxa"/>
              <w:left w:w="100" w:type="dxa"/>
              <w:bottom w:w="80" w:type="dxa"/>
              <w:right w:w="100" w:type="dxa"/>
            </w:tcMar>
            <w:vAlign w:val="center"/>
          </w:tcPr>
          <w:p w14:paraId="2D8EC717" w14:textId="77777777" w:rsidR="000A2EB2" w:rsidRDefault="00000000">
            <w:r>
              <w:rPr>
                <w:sz w:val="20"/>
                <w:szCs w:val="20"/>
              </w:rPr>
              <w:t>Sabancı Holding</w:t>
            </w:r>
          </w:p>
        </w:tc>
        <w:tc>
          <w:tcPr>
            <w:tcW w:w="3069" w:type="dxa"/>
            <w:shd w:val="clear" w:color="auto" w:fill="F2F2F2"/>
            <w:tcMar>
              <w:top w:w="80" w:type="dxa"/>
              <w:left w:w="100" w:type="dxa"/>
              <w:bottom w:w="80" w:type="dxa"/>
              <w:right w:w="100" w:type="dxa"/>
            </w:tcMar>
            <w:vAlign w:val="center"/>
          </w:tcPr>
          <w:p w14:paraId="597877B9" w14:textId="77777777" w:rsidR="000A2EB2" w:rsidRDefault="00000000">
            <w:r>
              <w:rPr>
                <w:sz w:val="20"/>
                <w:szCs w:val="20"/>
              </w:rPr>
              <w:t>Sabancı family and family-linked entities/foundations retain control</w:t>
            </w:r>
          </w:p>
        </w:tc>
        <w:tc>
          <w:tcPr>
            <w:tcW w:w="1534" w:type="dxa"/>
            <w:shd w:val="clear" w:color="auto" w:fill="F2F2F2"/>
            <w:tcMar>
              <w:top w:w="80" w:type="dxa"/>
              <w:left w:w="100" w:type="dxa"/>
              <w:bottom w:w="80" w:type="dxa"/>
              <w:right w:w="100" w:type="dxa"/>
            </w:tcMar>
            <w:vAlign w:val="center"/>
          </w:tcPr>
          <w:p w14:paraId="7D95E126" w14:textId="77777777" w:rsidR="000A2EB2" w:rsidRDefault="00000000">
            <w:r>
              <w:rPr>
                <w:sz w:val="20"/>
                <w:szCs w:val="20"/>
              </w:rPr>
              <w:t>≈ 53.2% (well above BIST average of ≈ 27.5%)</w:t>
            </w:r>
          </w:p>
        </w:tc>
        <w:tc>
          <w:tcPr>
            <w:tcW w:w="3242" w:type="dxa"/>
            <w:shd w:val="clear" w:color="auto" w:fill="F2F2F2"/>
            <w:tcMar>
              <w:top w:w="80" w:type="dxa"/>
              <w:left w:w="100" w:type="dxa"/>
              <w:bottom w:w="80" w:type="dxa"/>
              <w:right w:w="100" w:type="dxa"/>
            </w:tcMar>
            <w:vAlign w:val="center"/>
          </w:tcPr>
          <w:p w14:paraId="79EB730D" w14:textId="77777777" w:rsidR="000A2EB2" w:rsidRDefault="00000000">
            <w:r>
              <w:rPr>
                <w:sz w:val="20"/>
                <w:szCs w:val="20"/>
              </w:rPr>
              <w:t>Low-to-moderate. Unusually high free float increases theoretical accumulation capacity, but retained family control block and family-led governance modernization (e.g., 2025 non-family Chair appointment) suggest change continues to be family-initiated rather than activist-forced</w:t>
            </w:r>
          </w:p>
        </w:tc>
      </w:tr>
      <w:tr w:rsidR="000A2EB2" w14:paraId="6774220E" w14:textId="77777777">
        <w:tblPrEx>
          <w:tblCellMar>
            <w:top w:w="0" w:type="dxa"/>
            <w:bottom w:w="0" w:type="dxa"/>
          </w:tblCellMar>
        </w:tblPrEx>
        <w:tc>
          <w:tcPr>
            <w:tcW w:w="1875" w:type="dxa"/>
            <w:tcMar>
              <w:top w:w="80" w:type="dxa"/>
              <w:left w:w="100" w:type="dxa"/>
              <w:bottom w:w="80" w:type="dxa"/>
              <w:right w:w="100" w:type="dxa"/>
            </w:tcMar>
            <w:vAlign w:val="center"/>
          </w:tcPr>
          <w:p w14:paraId="7FFE657B" w14:textId="77777777" w:rsidR="000A2EB2" w:rsidRDefault="00000000">
            <w:r>
              <w:rPr>
                <w:sz w:val="20"/>
                <w:szCs w:val="20"/>
              </w:rPr>
              <w:t>Türk Hava Yolları (THY)</w:t>
            </w:r>
          </w:p>
        </w:tc>
        <w:tc>
          <w:tcPr>
            <w:tcW w:w="3069" w:type="dxa"/>
            <w:tcMar>
              <w:top w:w="80" w:type="dxa"/>
              <w:left w:w="100" w:type="dxa"/>
              <w:bottom w:w="80" w:type="dxa"/>
              <w:right w:w="100" w:type="dxa"/>
            </w:tcMar>
            <w:vAlign w:val="center"/>
          </w:tcPr>
          <w:p w14:paraId="5D882B59" w14:textId="77777777" w:rsidR="000A2EB2" w:rsidRDefault="00000000">
            <w:r>
              <w:rPr>
                <w:sz w:val="20"/>
                <w:szCs w:val="20"/>
              </w:rPr>
              <w:t>Türkiye Wealth Fund (TVF) holds the historical Treasury stake, ≈ 49.12% (third-party estimate, pending official confirmation)</w:t>
            </w:r>
          </w:p>
        </w:tc>
        <w:tc>
          <w:tcPr>
            <w:tcW w:w="1534" w:type="dxa"/>
            <w:tcMar>
              <w:top w:w="80" w:type="dxa"/>
              <w:left w:w="100" w:type="dxa"/>
              <w:bottom w:w="80" w:type="dxa"/>
              <w:right w:w="100" w:type="dxa"/>
            </w:tcMar>
            <w:vAlign w:val="center"/>
          </w:tcPr>
          <w:p w14:paraId="4BF3E559" w14:textId="77777777" w:rsidR="000A2EB2" w:rsidRDefault="00000000">
            <w:r>
              <w:rPr>
                <w:sz w:val="20"/>
                <w:szCs w:val="20"/>
              </w:rPr>
              <w:t>≈ 50.88%</w:t>
            </w:r>
          </w:p>
        </w:tc>
        <w:tc>
          <w:tcPr>
            <w:tcW w:w="3242" w:type="dxa"/>
            <w:tcMar>
              <w:top w:w="80" w:type="dxa"/>
              <w:left w:w="100" w:type="dxa"/>
              <w:bottom w:w="80" w:type="dxa"/>
              <w:right w:w="100" w:type="dxa"/>
            </w:tcMar>
            <w:vAlign w:val="center"/>
          </w:tcPr>
          <w:p w14:paraId="66B27660" w14:textId="77777777" w:rsidR="000A2EB2" w:rsidRDefault="00000000">
            <w:r>
              <w:rPr>
                <w:sz w:val="20"/>
                <w:szCs w:val="20"/>
              </w:rPr>
              <w:t>Low, but for different reasons than the family holdings. State/sovereign-fund control introduces strategic and geopolitical objectives that make an activist campaign both harder to win (large blocking stake) and less likely to succeed even if won, since flag-carrier status is a policy matter, not solely a shareholder-value matter</w:t>
            </w:r>
          </w:p>
        </w:tc>
      </w:tr>
    </w:tbl>
    <w:p w14:paraId="6D4B637A" w14:textId="77777777" w:rsidR="000A2EB2" w:rsidRDefault="00000000">
      <w:pPr>
        <w:spacing w:before="60" w:after="240"/>
      </w:pPr>
      <w:r>
        <w:rPr>
          <w:i/>
          <w:iCs/>
          <w:color w:val="555555"/>
          <w:sz w:val="20"/>
          <w:szCs w:val="20"/>
        </w:rPr>
        <w:t>Sources: Koç Holding Investor Relations shareholder-structure disclosures (as of 31 Dec 2024); Sabancı Holding Investor Relations shareholder-structure disclosures (as of 06 May 2026); THY ownership compilation (third-party sources, pending confirmation against THY's official KAP/general-assembly ownership table). See internal company dossiers, Şirket Dosyaları, for full sourcing.</w:t>
      </w:r>
    </w:p>
    <w:p w14:paraId="00342AD9" w14:textId="77777777" w:rsidR="000A2EB2" w:rsidRDefault="00000000">
      <w:pPr>
        <w:pStyle w:val="Heading2"/>
        <w:spacing w:before="260"/>
      </w:pPr>
      <w:r>
        <w:t>6.4 Synthesis: structure as the ultimate defense tactic</w:t>
      </w:r>
    </w:p>
    <w:p w14:paraId="6C5C6D1E" w14:textId="77777777" w:rsidR="000A2EB2" w:rsidRDefault="00000000">
      <w:pPr>
        <w:spacing w:after="160"/>
      </w:pPr>
      <w:r>
        <w:t xml:space="preserve">The Turkish comparison sharpens the course's central theoretical point. Poison pills, staggered boards, and advance notice bylaws (Part IV) are all designed to erect procedural and economic friction against activist intervention within a dispersed-ownership paradigm. Koç, Sabancı, and THY largely do not need these devices because their ownership structure resolves the Grossman &amp; Hart (1980) free-rider problem at the </w:t>
      </w:r>
      <w:r>
        <w:lastRenderedPageBreak/>
        <w:t>root: concentrated family or state ownership means the controlling shareholder already captures enough of any efficiency gain to act unilaterally, and, in Koç's case, dual-class voting rights make an activist board-seat contest a mathematical impossibility regardless of free-float accumulation. This does not mean Turkish holding companies are immune to all external pressure — index-fund stewardship voting, foreign free-float investors (averaging roughly 60% of Koç's free float in 2024, well above the BIST average of roughly 38%), and reputational/ESG pressure remain real channels of influence — but the classic hedge-fund-activism playbook documented in the 2026 U.S. and global datasets above has essentially no purchase against a majority-voting-control family or sovereign shareholder.</w:t>
      </w:r>
    </w:p>
    <w:p w14:paraId="30D31123" w14:textId="77777777" w:rsidR="000A2EB2" w:rsidRDefault="00000000">
      <w:r>
        <w:br w:type="page"/>
      </w:r>
    </w:p>
    <w:p w14:paraId="2C452988" w14:textId="77777777" w:rsidR="000A2EB2" w:rsidRDefault="00000000">
      <w:pPr>
        <w:pStyle w:val="Heading1"/>
        <w:spacing w:before="360" w:after="180"/>
      </w:pPr>
      <w:r>
        <w:lastRenderedPageBreak/>
        <w:t>Discussion Questions</w:t>
      </w:r>
    </w:p>
    <w:p w14:paraId="74571A9F" w14:textId="77777777" w:rsidR="000A2EB2" w:rsidRDefault="00000000">
      <w:pPr>
        <w:pStyle w:val="ListParagraph"/>
        <w:numPr>
          <w:ilvl w:val="0"/>
          <w:numId w:val="1"/>
        </w:numPr>
        <w:spacing w:after="100"/>
      </w:pPr>
      <w:r>
        <w:t>Brav et al. (2008) find positive, non-reversing abnormal returns around activist filings, while Gantchev (2013) shows escalation is costly enough to discourage many contests from reaching a vote. Are these findings in tension, or do they describe two stages of the same equilibrium? Defend your answer with reference to the falling H1 2026 U.S. success rate (27% → 17%) despite rising campaign volume (75 → 84).</w:t>
      </w:r>
    </w:p>
    <w:p w14:paraId="4CA54C42" w14:textId="77777777" w:rsidR="000A2EB2" w:rsidRDefault="00000000">
      <w:pPr>
        <w:pStyle w:val="ListParagraph"/>
        <w:numPr>
          <w:ilvl w:val="0"/>
          <w:numId w:val="1"/>
        </w:numPr>
        <w:spacing w:after="100"/>
      </w:pPr>
      <w:r>
        <w:t>Using Grossman &amp; Hart's (1980) free-rider logic, explain why hedge fund activism is a specialized, fee-motivated industry rather than something ordinary dispersed shareholders undertake themselves. What features of a hedge fund's capital structure (concentrated stakes, performance fees, limited-partner lock-ups) solve the collective-action problem that dispersed retail and index investors cannot solve?</w:t>
      </w:r>
    </w:p>
    <w:p w14:paraId="7C6B5B9C" w14:textId="77777777" w:rsidR="000A2EB2" w:rsidRDefault="00000000">
      <w:pPr>
        <w:pStyle w:val="ListParagraph"/>
        <w:numPr>
          <w:ilvl w:val="0"/>
          <w:numId w:val="1"/>
        </w:numPr>
        <w:spacing w:after="100"/>
      </w:pPr>
      <w:r>
        <w:t>M&amp;A-related demands rose from 19 of 75 U.S. campaigns in H1 2025 to 39 of 84 in H1 2026, overtaking governance reform as the top demand category. What does this shift imply about where activists currently perceive the largest gap between market value and intrinsic (sum-of-the-parts) value? Is a break-up thesis inherently riskier for target-company employees and communities than a governance-reform thesis?</w:t>
      </w:r>
    </w:p>
    <w:p w14:paraId="3DA6757F" w14:textId="77777777" w:rsidR="000A2EB2" w:rsidRDefault="00000000">
      <w:pPr>
        <w:pStyle w:val="ListParagraph"/>
        <w:numPr>
          <w:ilvl w:val="0"/>
          <w:numId w:val="1"/>
        </w:numPr>
        <w:spacing w:after="100"/>
      </w:pPr>
      <w:r>
        <w:t>Bebchuk, Coates &amp; Subramanian (2002) find staggered boards are a far more powerful antitakeover device than previously appreciated. Malatesta &amp; Walkling (1988) find poison pill adoption is, on average, associated with negative abnormal returns. Reconcile these two findings: can a defense be simultaneously effective at deterrence and value-destroying for shareholders on adoption?</w:t>
      </w:r>
    </w:p>
    <w:p w14:paraId="35F64C80" w14:textId="77777777" w:rsidR="000A2EB2" w:rsidRDefault="00000000">
      <w:pPr>
        <w:pStyle w:val="ListParagraph"/>
        <w:numPr>
          <w:ilvl w:val="0"/>
          <w:numId w:val="1"/>
        </w:numPr>
        <w:spacing w:after="100"/>
      </w:pPr>
      <w:r>
        <w:t>Koç Holding's dual-class share structure concentrates ≈55.6% of voting rights in the family holding vehicle despite a free float of ≈26.9%. Is this structure best understood as an efficient solution to the free-rider problem (per Grossman &amp; Hart), or as management/family entrenchment that happens to look efficient? What evidence would distinguish the two interpretations?</w:t>
      </w:r>
    </w:p>
    <w:p w14:paraId="44E1894A" w14:textId="77777777" w:rsidR="000A2EB2" w:rsidRDefault="00000000">
      <w:pPr>
        <w:pStyle w:val="ListParagraph"/>
        <w:numPr>
          <w:ilvl w:val="0"/>
          <w:numId w:val="1"/>
        </w:numPr>
        <w:spacing w:after="100"/>
      </w:pPr>
      <w:r>
        <w:t>THY's controlling shareholder is a sovereign wealth fund (TVF) rather than a family. How, if at all, should the academic activism-defense literature (built almost entirely on U.S. and U.K. dispersed-ownership evidence) be adapted to analyze activism risk and governance quality at a state-controlled flag carrier?</w:t>
      </w:r>
    </w:p>
    <w:p w14:paraId="1B5CBDF7" w14:textId="77777777" w:rsidR="000A2EB2" w:rsidRDefault="00000000">
      <w:pPr>
        <w:pStyle w:val="ListParagraph"/>
        <w:numPr>
          <w:ilvl w:val="0"/>
          <w:numId w:val="1"/>
        </w:numPr>
        <w:spacing w:after="100"/>
      </w:pPr>
      <w:r>
        <w:t>If you were advising Sabancı Holding's board on whether its ≈53.2% free float (well above the BIST average) creates meaningful activism exposure despite family control, what specific data would you want — beyond aggregate free-float percentage — before concluding the company is activism-resistant?</w:t>
      </w:r>
    </w:p>
    <w:p w14:paraId="4FF07DA7" w14:textId="77777777" w:rsidR="000A2EB2" w:rsidRDefault="00000000">
      <w:r>
        <w:br w:type="page"/>
      </w:r>
    </w:p>
    <w:p w14:paraId="58115019" w14:textId="77777777" w:rsidR="000A2EB2" w:rsidRDefault="00000000">
      <w:pPr>
        <w:pStyle w:val="Heading1"/>
        <w:spacing w:before="360" w:after="180"/>
      </w:pPr>
      <w:r>
        <w:lastRenderedPageBreak/>
        <w:t>References</w:t>
      </w:r>
    </w:p>
    <w:p w14:paraId="2B3AC685" w14:textId="77777777" w:rsidR="000A2EB2" w:rsidRDefault="00000000">
      <w:pPr>
        <w:pStyle w:val="Heading2"/>
        <w:spacing w:before="260"/>
      </w:pPr>
      <w:r>
        <w:t>Academic References</w:t>
      </w:r>
    </w:p>
    <w:p w14:paraId="08DEA454" w14:textId="77777777" w:rsidR="000A2EB2" w:rsidRDefault="00000000">
      <w:pPr>
        <w:spacing w:after="160"/>
      </w:pPr>
      <w:r>
        <w:t>Bebchuk, L. A., Coates, J. C., &amp; Subramanian, G. (2002). The Powerful Antitakeover Force of Staggered Boards: Theory, Evidence, and Policy. Stanford Law Review, 54(5), 887–951.</w:t>
      </w:r>
    </w:p>
    <w:p w14:paraId="6052CCFB" w14:textId="77777777" w:rsidR="000A2EB2" w:rsidRDefault="00000000">
      <w:pPr>
        <w:spacing w:after="160"/>
      </w:pPr>
      <w:r>
        <w:t>Brav, A., Jiang, W., Partnoy, F., &amp; Thomas, R. (2008). Hedge Fund Activism, Corporate Governance, and Firm Performance. Journal of Finance, 63(4), 1729–1775.</w:t>
      </w:r>
    </w:p>
    <w:p w14:paraId="638EA84D" w14:textId="77777777" w:rsidR="000A2EB2" w:rsidRDefault="00000000">
      <w:pPr>
        <w:spacing w:after="160"/>
      </w:pPr>
      <w:r>
        <w:t>Gantchev, N. (2013). The Costs of Shareholder Activism: Evidence from a Sequential Decision Model. Journal of Financial Economics, 107(3), 610–631.</w:t>
      </w:r>
    </w:p>
    <w:p w14:paraId="72DB7A1F" w14:textId="77777777" w:rsidR="000A2EB2" w:rsidRDefault="00000000">
      <w:pPr>
        <w:spacing w:after="160"/>
      </w:pPr>
      <w:r>
        <w:t>Grossman, S. J., &amp; Hart, O. D. (1980). Takeover Bids, the Free-Rider Problem, and the Theory of the Corporation. Bell Journal of Economics, 11(1), 42–64.</w:t>
      </w:r>
    </w:p>
    <w:p w14:paraId="68E8E388" w14:textId="77777777" w:rsidR="000A2EB2" w:rsidRDefault="00000000">
      <w:pPr>
        <w:spacing w:after="160"/>
      </w:pPr>
      <w:r>
        <w:t>Malatesta, P. H., &amp; Walkling, R. A. (1988). Poison Pill Securities: Stockholder Wealth, Profitability, and Ownership Structure. Journal of Financial Economics, 20, 347–376.</w:t>
      </w:r>
    </w:p>
    <w:p w14:paraId="496DC461" w14:textId="77777777" w:rsidR="000A2EB2" w:rsidRDefault="00000000">
      <w:pPr>
        <w:pStyle w:val="Heading2"/>
        <w:spacing w:before="260"/>
      </w:pPr>
      <w:r>
        <w:t>Web Sources (H1 2026 Data, retrieved July 2026)</w:t>
      </w:r>
    </w:p>
    <w:p w14:paraId="13138D44" w14:textId="77777777" w:rsidR="000A2EB2" w:rsidRDefault="00000000">
      <w:pPr>
        <w:spacing w:after="160"/>
      </w:pPr>
      <w:r>
        <w:t>Lazard. (2026, July 1). Review of Shareholder Activism — H1 2026. https://www.lazard.com/research-insights/review-of-shareholder-activism-h1-2026/</w:t>
      </w:r>
    </w:p>
    <w:p w14:paraId="701F1CE0" w14:textId="77777777" w:rsidR="000A2EB2" w:rsidRDefault="00000000">
      <w:pPr>
        <w:spacing w:after="160"/>
      </w:pPr>
      <w:r>
        <w:t>Barclays Investment Bank Shareholder Advisory Group. (2026). H1 2026 Review of Shareholder Activism. https://www.ib.barclays/content/dam/barclaysmicrosites/ibpublic/documents/our-insights/Q2_26_Activism/barclays_h1_2026_review_of_shareholder_activism.pdf</w:t>
      </w:r>
    </w:p>
    <w:p w14:paraId="74A3BFE6" w14:textId="77777777" w:rsidR="000A2EB2" w:rsidRDefault="00000000">
      <w:pPr>
        <w:spacing w:after="160"/>
      </w:pPr>
      <w:r>
        <w:t>Wire-service coverage (syndicated, dated 1 July 2026), "Activist investors make bigger push for campaigns in H1, seek more M&amp;A." See e.g. https://wtvbam.com/2026/07/01/activist-investors-make-bigger-push-for-campaigns-in-h1-seek-more-ma/ and https://boereport.com/2026/07/01/activist-investors-make-bigger-push-for-campaigns-in-h1-seek-more-ma/ (U.S.-focused 84-campaign / 75-campaign / 39-of-84 M&amp;A-demand / 25-board-seats-15-companies / 27%-to-17%-success-rate / Elliott-6-campaigns / technology-21% figures used in Table 1 above).</w:t>
      </w:r>
    </w:p>
    <w:p w14:paraId="4905C494" w14:textId="77777777" w:rsidR="000A2EB2" w:rsidRDefault="00000000">
      <w:pPr>
        <w:spacing w:after="160"/>
      </w:pPr>
      <w:r>
        <w:t>Harvard Law School Forum on Corporate Governance. (2026, June 26). Shareholder Activism Approaching the 2026 Midpoint: Trends, Lessons, and What to Expect for the Rest of the Season. https://corpgov.law.harvard.edu/2026/06/26/shareholder-activism-approaching-the-2026-midpoint-trends-lessons-and-what-to-expect-for-the-rest-of-the-season/</w:t>
      </w:r>
    </w:p>
    <w:p w14:paraId="7D533C80" w14:textId="77777777" w:rsidR="000A2EB2" w:rsidRDefault="00000000">
      <w:pPr>
        <w:spacing w:after="160"/>
      </w:pPr>
      <w:r>
        <w:t>Diligent. (2026). Shareholder Activism Annual Review 2026. https://www.diligent.com/resources/research/shareholderactivism2026</w:t>
      </w:r>
    </w:p>
    <w:p w14:paraId="7D44F96D" w14:textId="77777777" w:rsidR="000A2EB2" w:rsidRDefault="00000000">
      <w:pPr>
        <w:spacing w:after="160"/>
      </w:pPr>
      <w:r>
        <w:t>Koç Holding Investor Relations. About Koç Holding — Shareholder Structure. https://www.koc.com.tr/investor-relations/about-koc-holding</w:t>
      </w:r>
    </w:p>
    <w:p w14:paraId="5A21BF69" w14:textId="77777777" w:rsidR="000A2EB2" w:rsidRDefault="00000000">
      <w:pPr>
        <w:spacing w:after="160"/>
      </w:pPr>
      <w:r>
        <w:t>Sabancı Holding Investor Relations. Shareholder Structure (as of 06.05.2026). https://yatirimciiliskileri.sabanci.com/en/about-sabanci-holding/detail/Shareholder-Structure/127/424/0</w:t>
      </w:r>
    </w:p>
    <w:p w14:paraId="5BB8FFE0" w14:textId="77777777" w:rsidR="000A2EB2" w:rsidRDefault="00000000">
      <w:pPr>
        <w:spacing w:after="160"/>
      </w:pPr>
      <w:r>
        <w:lastRenderedPageBreak/>
        <w:t>Turkish Airlines (THY) Investor Relations. Share Details. https://investor.turkishairlines.com/en/share-details/share-details</w:t>
      </w:r>
    </w:p>
    <w:p w14:paraId="633D2152" w14:textId="77777777" w:rsidR="000A2EB2" w:rsidRDefault="00000000">
      <w:r>
        <w:br w:type="page"/>
      </w:r>
    </w:p>
    <w:p w14:paraId="3B3424AD" w14:textId="77777777" w:rsidR="000A2EB2" w:rsidRDefault="00000000">
      <w:pPr>
        <w:pStyle w:val="Heading1"/>
      </w:pPr>
      <w:r>
        <w:lastRenderedPageBreak/>
        <w:t>Part VII -- Deeper Theoretical Foundations (Expanded)</w:t>
      </w:r>
    </w:p>
    <w:p w14:paraId="5A6FCB2D" w14:textId="77777777" w:rsidR="000A2EB2" w:rsidRDefault="00000000">
      <w:r>
        <w:t>Part VII expands the theoretical apparatus introduced in Parts I-VI with additional depth: a fully worked numerical example of the Grossman &amp; Hart (1980) free-rider problem, a complete review of Kahan &amp; Rock (2007), the Coffee &amp; Palia (2016) "wolf pack" framework, poison pill doctrinal background (Moran v. Household International), expanded staggered-board mechanics, the SEC's 2022 universal proxy card rule change, "just vote no" campaigns, and the theoretical framing of ESG-linked activism. These sections are designed to be read alongside, not instead of, Parts I-VI above; nothing in Parts I-VI is superseded.</w:t>
      </w:r>
    </w:p>
    <w:p w14:paraId="0DD25E62" w14:textId="77777777" w:rsidR="000A2EB2" w:rsidRDefault="00000000">
      <w:pPr>
        <w:pStyle w:val="Heading2"/>
      </w:pPr>
      <w:r>
        <w:t>7.1 The Free-Rider Problem: A Worked Numerical Example</w:t>
      </w:r>
    </w:p>
    <w:p w14:paraId="5A7B91B1" w14:textId="77777777" w:rsidR="000A2EB2" w:rsidRDefault="00000000">
      <w:r>
        <w:t>Part I already introduced Grossman &amp; Hart's (1980) qualitative insight that dispersed shareholders under-invest in monitoring because gains accrue pro rata to non-participants. The mechanism is easiest to internalize with a concrete numerical example, which is developed here in full.</w:t>
      </w:r>
      <w:r>
        <w:br/>
      </w:r>
      <w:r>
        <w:br/>
        <w:t>Consider a company, TargetCo, with 100,000,000 shares outstanding, no controlling shareholder, and a share price of $20.00, for a market capitalization of $2,000,000,000. TargetCo is poorly managed: capital allocation is undisciplined, the cost structure is bloated, and a specific, credible operational improvement plan (cost reduction, portfolio rationalization, and a disciplined buyback) would raise intrinsic value by 15%, to $23.00 per share, once fully executed and recognized by the market.</w:t>
      </w:r>
      <w:r>
        <w:br/>
      </w:r>
      <w:r>
        <w:br/>
        <w:t>Suppose a single shareholder, Investor A, holds 1,000,000 shares (1.0% of TargetCo, worth $20,000,000 at the pre-campaign price) and is the only shareholder willing to consider mounting an activist campaign to force the improvement plan. Mounting the campaign — stake-building above the 1% starting position, retaining a proxy solicitor and outside counsel, preparing an investor presentation, engaging with ISS and Glass Lewis, and potentially running a partial proxy contest — costs approximately $8,000,000 in hard costs (consistent with the order of magnitude in Gantchev's (2013) $10.7 million average full-contest estimate, scaled down here for a partial/settlement-track campaign).</w:t>
      </w:r>
    </w:p>
    <w:tbl>
      <w:tblPr>
        <w:tblW w:w="9720" w:type="dxa"/>
        <w:tblLayout w:type="fixed"/>
        <w:tblCellMar>
          <w:left w:w="10" w:type="dxa"/>
          <w:right w:w="10" w:type="dxa"/>
        </w:tblCellMar>
        <w:tblLook w:val="04A0" w:firstRow="1" w:lastRow="0" w:firstColumn="1" w:lastColumn="0" w:noHBand="0" w:noVBand="1"/>
      </w:tblPr>
      <w:tblGrid>
        <w:gridCol w:w="4860"/>
        <w:gridCol w:w="4860"/>
      </w:tblGrid>
      <w:tr w:rsidR="000A2EB2" w14:paraId="04729050" w14:textId="77777777">
        <w:tblPrEx>
          <w:tblCellMar>
            <w:top w:w="0" w:type="dxa"/>
            <w:bottom w:w="0" w:type="dxa"/>
          </w:tblCellMar>
        </w:tblPrEx>
        <w:tc>
          <w:tcPr>
            <w:tcW w:w="4860" w:type="dxa"/>
            <w:shd w:val="clear" w:color="auto" w:fill="DCE6F1"/>
          </w:tcPr>
          <w:p w14:paraId="51912710" w14:textId="77777777" w:rsidR="000A2EB2" w:rsidRDefault="00000000">
            <w:r>
              <w:rPr>
                <w:b/>
              </w:rPr>
              <w:t>Item</w:t>
            </w:r>
          </w:p>
        </w:tc>
        <w:tc>
          <w:tcPr>
            <w:tcW w:w="4860" w:type="dxa"/>
            <w:shd w:val="clear" w:color="auto" w:fill="DCE6F1"/>
          </w:tcPr>
          <w:p w14:paraId="48948301" w14:textId="77777777" w:rsidR="000A2EB2" w:rsidRDefault="00000000">
            <w:r>
              <w:rPr>
                <w:b/>
              </w:rPr>
              <w:t>Value</w:t>
            </w:r>
          </w:p>
        </w:tc>
      </w:tr>
      <w:tr w:rsidR="000A2EB2" w14:paraId="52F9FCF6" w14:textId="77777777">
        <w:tblPrEx>
          <w:tblCellMar>
            <w:top w:w="0" w:type="dxa"/>
            <w:bottom w:w="0" w:type="dxa"/>
          </w:tblCellMar>
        </w:tblPrEx>
        <w:tc>
          <w:tcPr>
            <w:tcW w:w="4860" w:type="dxa"/>
          </w:tcPr>
          <w:p w14:paraId="3A170376" w14:textId="77777777" w:rsidR="000A2EB2" w:rsidRDefault="00000000">
            <w:r>
              <w:t>TargetCo shares outstanding</w:t>
            </w:r>
          </w:p>
        </w:tc>
        <w:tc>
          <w:tcPr>
            <w:tcW w:w="4860" w:type="dxa"/>
          </w:tcPr>
          <w:p w14:paraId="1FEC9AC3" w14:textId="77777777" w:rsidR="000A2EB2" w:rsidRDefault="00000000">
            <w:r>
              <w:t>100,000,000</w:t>
            </w:r>
          </w:p>
        </w:tc>
      </w:tr>
      <w:tr w:rsidR="000A2EB2" w14:paraId="786CFE1C" w14:textId="77777777">
        <w:tblPrEx>
          <w:tblCellMar>
            <w:top w:w="0" w:type="dxa"/>
            <w:bottom w:w="0" w:type="dxa"/>
          </w:tblCellMar>
        </w:tblPrEx>
        <w:tc>
          <w:tcPr>
            <w:tcW w:w="4860" w:type="dxa"/>
          </w:tcPr>
          <w:p w14:paraId="5B6A4634" w14:textId="77777777" w:rsidR="000A2EB2" w:rsidRDefault="00000000">
            <w:r>
              <w:t>Pre-campaign share price</w:t>
            </w:r>
          </w:p>
        </w:tc>
        <w:tc>
          <w:tcPr>
            <w:tcW w:w="4860" w:type="dxa"/>
          </w:tcPr>
          <w:p w14:paraId="171414C1" w14:textId="77777777" w:rsidR="000A2EB2" w:rsidRDefault="00000000">
            <w:r>
              <w:t>$20.00</w:t>
            </w:r>
          </w:p>
        </w:tc>
      </w:tr>
      <w:tr w:rsidR="000A2EB2" w14:paraId="7B178D53" w14:textId="77777777">
        <w:tblPrEx>
          <w:tblCellMar>
            <w:top w:w="0" w:type="dxa"/>
            <w:bottom w:w="0" w:type="dxa"/>
          </w:tblCellMar>
        </w:tblPrEx>
        <w:tc>
          <w:tcPr>
            <w:tcW w:w="4860" w:type="dxa"/>
          </w:tcPr>
          <w:p w14:paraId="085D7BC0" w14:textId="77777777" w:rsidR="000A2EB2" w:rsidRDefault="00000000">
            <w:r>
              <w:t>Pre-campaign market capitalization</w:t>
            </w:r>
          </w:p>
        </w:tc>
        <w:tc>
          <w:tcPr>
            <w:tcW w:w="4860" w:type="dxa"/>
          </w:tcPr>
          <w:p w14:paraId="056126BB" w14:textId="77777777" w:rsidR="000A2EB2" w:rsidRDefault="00000000">
            <w:r>
              <w:t>$2,000,000,000</w:t>
            </w:r>
          </w:p>
        </w:tc>
      </w:tr>
      <w:tr w:rsidR="000A2EB2" w14:paraId="2B87888B" w14:textId="77777777">
        <w:tblPrEx>
          <w:tblCellMar>
            <w:top w:w="0" w:type="dxa"/>
            <w:bottom w:w="0" w:type="dxa"/>
          </w:tblCellMar>
        </w:tblPrEx>
        <w:tc>
          <w:tcPr>
            <w:tcW w:w="4860" w:type="dxa"/>
          </w:tcPr>
          <w:p w14:paraId="5195AE99" w14:textId="77777777" w:rsidR="000A2EB2" w:rsidRDefault="00000000">
            <w:r>
              <w:t>Post-improvement share price (thesis realized)</w:t>
            </w:r>
          </w:p>
        </w:tc>
        <w:tc>
          <w:tcPr>
            <w:tcW w:w="4860" w:type="dxa"/>
          </w:tcPr>
          <w:p w14:paraId="765810C0" w14:textId="77777777" w:rsidR="000A2EB2" w:rsidRDefault="00000000">
            <w:r>
              <w:t>$23.00 (+15%)</w:t>
            </w:r>
          </w:p>
        </w:tc>
      </w:tr>
      <w:tr w:rsidR="000A2EB2" w14:paraId="56B9B512" w14:textId="77777777">
        <w:tblPrEx>
          <w:tblCellMar>
            <w:top w:w="0" w:type="dxa"/>
            <w:bottom w:w="0" w:type="dxa"/>
          </w:tblCellMar>
        </w:tblPrEx>
        <w:tc>
          <w:tcPr>
            <w:tcW w:w="4860" w:type="dxa"/>
          </w:tcPr>
          <w:p w14:paraId="098DFA77" w14:textId="77777777" w:rsidR="000A2EB2" w:rsidRDefault="00000000">
            <w:r>
              <w:t>Total value created if campaign succeeds</w:t>
            </w:r>
          </w:p>
        </w:tc>
        <w:tc>
          <w:tcPr>
            <w:tcW w:w="4860" w:type="dxa"/>
          </w:tcPr>
          <w:p w14:paraId="26CE6306" w14:textId="77777777" w:rsidR="000A2EB2" w:rsidRDefault="00000000">
            <w:r>
              <w:t>$300,000,000</w:t>
            </w:r>
          </w:p>
        </w:tc>
      </w:tr>
      <w:tr w:rsidR="000A2EB2" w14:paraId="5E28916D" w14:textId="77777777">
        <w:tblPrEx>
          <w:tblCellMar>
            <w:top w:w="0" w:type="dxa"/>
            <w:bottom w:w="0" w:type="dxa"/>
          </w:tblCellMar>
        </w:tblPrEx>
        <w:tc>
          <w:tcPr>
            <w:tcW w:w="4860" w:type="dxa"/>
          </w:tcPr>
          <w:p w14:paraId="2D644FDA" w14:textId="77777777" w:rsidR="000A2EB2" w:rsidRDefault="00000000">
            <w:r>
              <w:t>Investor A's stake</w:t>
            </w:r>
          </w:p>
        </w:tc>
        <w:tc>
          <w:tcPr>
            <w:tcW w:w="4860" w:type="dxa"/>
          </w:tcPr>
          <w:p w14:paraId="7C582FA4" w14:textId="77777777" w:rsidR="000A2EB2" w:rsidRDefault="00000000">
            <w:r>
              <w:t>1,000,000 shares (1.0%)</w:t>
            </w:r>
          </w:p>
        </w:tc>
      </w:tr>
      <w:tr w:rsidR="000A2EB2" w14:paraId="76B4477F" w14:textId="77777777">
        <w:tblPrEx>
          <w:tblCellMar>
            <w:top w:w="0" w:type="dxa"/>
            <w:bottom w:w="0" w:type="dxa"/>
          </w:tblCellMar>
        </w:tblPrEx>
        <w:tc>
          <w:tcPr>
            <w:tcW w:w="4860" w:type="dxa"/>
          </w:tcPr>
          <w:p w14:paraId="555FDD56" w14:textId="77777777" w:rsidR="000A2EB2" w:rsidRDefault="00000000">
            <w:r>
              <w:t>Investor A's dollar value created (pro-rata share)</w:t>
            </w:r>
          </w:p>
        </w:tc>
        <w:tc>
          <w:tcPr>
            <w:tcW w:w="4860" w:type="dxa"/>
          </w:tcPr>
          <w:p w14:paraId="59BB04CE" w14:textId="77777777" w:rsidR="000A2EB2" w:rsidRDefault="00000000">
            <w:r>
              <w:t>$3,000,000</w:t>
            </w:r>
          </w:p>
        </w:tc>
      </w:tr>
      <w:tr w:rsidR="000A2EB2" w14:paraId="75E86BA4" w14:textId="77777777">
        <w:tblPrEx>
          <w:tblCellMar>
            <w:top w:w="0" w:type="dxa"/>
            <w:bottom w:w="0" w:type="dxa"/>
          </w:tblCellMar>
        </w:tblPrEx>
        <w:tc>
          <w:tcPr>
            <w:tcW w:w="4860" w:type="dxa"/>
          </w:tcPr>
          <w:p w14:paraId="7D27CC38" w14:textId="77777777" w:rsidR="000A2EB2" w:rsidRDefault="00000000">
            <w:r>
              <w:t>Full cost of mounting the campaign (borne entirely by Investor A)</w:t>
            </w:r>
          </w:p>
        </w:tc>
        <w:tc>
          <w:tcPr>
            <w:tcW w:w="4860" w:type="dxa"/>
          </w:tcPr>
          <w:p w14:paraId="7AD26E8F" w14:textId="77777777" w:rsidR="000A2EB2" w:rsidRDefault="00000000">
            <w:r>
              <w:t>$8,000,000</w:t>
            </w:r>
          </w:p>
        </w:tc>
      </w:tr>
      <w:tr w:rsidR="000A2EB2" w14:paraId="4A334679" w14:textId="77777777">
        <w:tblPrEx>
          <w:tblCellMar>
            <w:top w:w="0" w:type="dxa"/>
            <w:bottom w:w="0" w:type="dxa"/>
          </w:tblCellMar>
        </w:tblPrEx>
        <w:tc>
          <w:tcPr>
            <w:tcW w:w="4860" w:type="dxa"/>
          </w:tcPr>
          <w:p w14:paraId="707670FB" w14:textId="77777777" w:rsidR="000A2EB2" w:rsidRDefault="00000000">
            <w:r>
              <w:t>Investor A's net result if acting alone</w:t>
            </w:r>
          </w:p>
        </w:tc>
        <w:tc>
          <w:tcPr>
            <w:tcW w:w="4860" w:type="dxa"/>
          </w:tcPr>
          <w:p w14:paraId="0AD93783" w14:textId="77777777" w:rsidR="000A2EB2" w:rsidRDefault="00000000">
            <w:r>
              <w:t>$3,000,000 - $8,000,000 = -$5,000,000 (net loss)</w:t>
            </w:r>
          </w:p>
        </w:tc>
      </w:tr>
    </w:tbl>
    <w:p w14:paraId="2C237E67" w14:textId="77777777" w:rsidR="000A2EB2" w:rsidRDefault="000A2EB2"/>
    <w:p w14:paraId="68B50537" w14:textId="77777777" w:rsidR="000A2EB2" w:rsidRDefault="00000000">
      <w:r>
        <w:t>The arithmetic is the entire point of the free-rider problem. Investor A creates $300,000,000 of aggregate shareholder value by bearing the full $8,000,000 campaign cost, but captures only $3,000,000 of that value through its own 1.0% stake — a net loss of $5,000,000 on the campaign even though the campaign was, in aggregate, spectacularly value-creating (a 37.5x return on the $8,000,000 cost, from society's point of view). The remaining $297,000,000 of value accrues to the other 99,000,000 shares outstanding, held by shareholders who bore none of the cost and did nothing to earn it — the textbook free-rider outcome. A rational, atomistic shareholder holding even a large passive position (say, an index fund holding 6,000,000 shares, 6.0% of TargetCo) has every incentive to wait for someone else to bear the monitoring cost and simply vote in favor once a credible activist has already done the expensive work; no single diffuse shareholder below some threshold stake size has an individually rational reason to be the one who acts first.</w:t>
      </w:r>
      <w:r>
        <w:br/>
      </w:r>
      <w:r>
        <w:br/>
        <w:t>This is precisely why hedge fund activism is a specialized, concentrated-stake industry. An activist fund does not hold 1.0% — it typically builds a 5%-10% stake specifically so that the arithmetic above flips from a net loss into a net gain. Re-running the same example with a 6.0% stake (6,000,000 shares, worth $120,000,000 pre-campaign) instead of 1.0%: the same $300,000,000 aggregate value creation now yields the activist a pro-rata gain of $18,000,000 (6.0% x $300,000,000) against the same $8,000,000 campaign cost, for a net profit of $10,000,000 — a decisively positive return that justifies bearing the monitoring cost alone. The stake size is the entire economic engine of activism: below a critical ownership threshold (in this stylized example, the break-even stake is $8,000,000 / $300,000,000 = 2.67% of the company), campaigning is a value-destroying activity for the individual investor even though it is value-creating in aggregate; above that threshold, it becomes individually rational. Hedge fund activists exist, structurally, to concentrate ownership past that break-even threshold — solving, for their own book, a coordination failure that the remaining 94% of atomistic shareholders could never solve for themselves. Performance-fee compensation (typically a "2-and-20" or similar carried-interest structure) reinforces the same logic at the level of the fund manager: a manager earning 20% of profits on a $500,000,000 fund internalizes a share of the campaign's value creation far beyond what a passive index-fund manager, compensated on assets under management rather than performance, has any incentive to pursue.</w:t>
      </w:r>
      <w:r>
        <w:br/>
      </w:r>
      <w:r>
        <w:br/>
        <w:t>The example also clarifies why campaign cost matters so much to the overall efficiency of the activism "market." If campaign costs were zero, any shareholder holding even a single share would have a positive expected return from monitoring, and the free-rider problem would not bind at all; it is precisely because monitoring, engagement, and proxy contests are expensive (Gantchev, 2013) that a minimum concentrated stake is required to make intervention privately rational, and it is precisely because concentrated stakes are costly and risky to accumulate (market impact, disclosure triggers, price appreciation during the accumulation window) that activism remains a specialized rather than universal shareholder behavior.</w:t>
      </w:r>
    </w:p>
    <w:p w14:paraId="0395F9FB" w14:textId="77777777" w:rsidR="000A2EB2" w:rsidRDefault="00000000">
      <w:pPr>
        <w:pStyle w:val="Heading2"/>
      </w:pPr>
      <w:r>
        <w:t>7.2 Kahan &amp; Rock (2007): Hedge Fund Activism, Corporate Governance, and Firm Performance</w:t>
      </w:r>
    </w:p>
    <w:p w14:paraId="2BA3D459" w14:textId="77777777" w:rsidR="000A2EB2" w:rsidRDefault="00000000">
      <w:r>
        <w:t>Marcel Kahan and Edward Rock's 2007 article, "Hedge Fund Activism, Corporate Governance, and Firm Performance," is one of the most cited explanations for why hedge funds -- not pension funds or mutual funds -- became the dominant activist vehicle in the 2000s.</w:t>
      </w:r>
    </w:p>
    <w:p w14:paraId="47161CB8" w14:textId="77777777" w:rsidR="000A2EB2" w:rsidRDefault="00000000">
      <w:r>
        <w:lastRenderedPageBreak/>
        <w:t>Their argument rests on four structural features of the hedge fund form. First, long lock-ups (often one to three years) free the manager from the redemption pressure that would otherwise force a mutual fund to sell mid-campaign. Second, light regulation lets a hedge fund concentrate 5-10% or more of its capital in one position -- exactly the concentration the free-rider math in section 7.1 shows is needed. Third, performance-fee compensation aligns the manager's own payoff with campaign success far more directly than an asset-under-management fee does. Fourth, because hedge funds do not seek outright control, they avoid the takeover premium, financing burden, and antitrust exposure of a full acquisition while still exerting outsized governance influence through board nominations and public letters.</w:t>
      </w:r>
    </w:p>
    <w:p w14:paraId="36589623" w14:textId="77777777" w:rsidR="000A2EB2" w:rsidRDefault="00000000">
      <w:r>
        <w:t>Kahan and Rock stop short of declaring hedge fund activism unambiguously good for everyone. They flag three live concerns: activist time horizons may be shorter than what maximizes long-run firm value; campaigns can impose real costs on employees, communities, and suppliers that shareholder-return metrics do not capture; and the same freedom from fiduciary constraint that makes hedge funds effective monitors also lets them extract side benefits -- through greenmail-like settlements, for instance -- that do not necessarily serve other long-term shareholders. Read together, their framework explains why hedge funds became the dominant activist vehicle, not that every campaign creates value; that second, empirical question is what Brav, Jiang, Partnoy &amp; Thomas (2008) and later studies actually test.</w:t>
      </w:r>
    </w:p>
    <w:p w14:paraId="7F8487A4" w14:textId="77777777" w:rsidR="000A2EB2" w:rsidRDefault="00000000">
      <w:pPr>
        <w:pStyle w:val="Heading2"/>
      </w:pPr>
      <w:r>
        <w:t>7.3 Coffee &amp; Palia (2016): "Wolf Pack" Activism</w:t>
      </w:r>
    </w:p>
    <w:p w14:paraId="1A5490FF" w14:textId="77777777" w:rsidR="000A2EB2" w:rsidRDefault="00000000">
      <w:r>
        <w:t>Coffee and Palia's 2016 article, "The Wolf at the Door," named and formalized "wolf pack" activism: several hedge funds independently build stakes in the same target around the same time, without ever forming a formal Section 13(d) "group" that would trigger combined disclosure, and then apply pressure that no single fund's stake alone would justify.</w:t>
      </w:r>
    </w:p>
    <w:p w14:paraId="394B4833" w14:textId="77777777" w:rsidR="000A2EB2" w:rsidRDefault="00000000">
      <w:r>
        <w:t>Wolf packs partly get around the free-rider logic that normally requires one activist to hold a large, concentrated stake (Grossman &amp; Hart, 1980; section 7.1). No single fund needs to cross the break-even ownership threshold alone -- each holds a sub-threshold stake, individually rational only because each fund expects the others to act too, amplifying the odds of success that every member then captures pro rata on its own smaller stake. It is a second way of solving the same collective-action problem: coordination among a handful of repeat-player funds substitutes for one fund's concentrated position.</w:t>
      </w:r>
    </w:p>
    <w:p w14:paraId="181DA3E6" w14:textId="77777777" w:rsidR="000A2EB2" w:rsidRDefault="00000000">
      <w:r>
        <w:t>The regulatory concern Coffee and Palia raise, still debated in 2026, is disclosure timing: because wolf-pack members avoid formal "group" status, the target and the broader market can be seriously under-informed about the true scale of coordinated buying until a public letter appears or the campaign is well underway. They argue this favors the wolf pack over the target board and ordinary shareholders, and are sympathetic to tighter disclosure rules (a shorter 13D filing window, clearer tests for when informal coordination counts as a "group") -- while stopping short of recommending that wolf-pack coordination itself be restricted, since they view it as a legitimate private response to the same under-supply of monitoring that justifies activism generally.</w:t>
      </w:r>
    </w:p>
    <w:p w14:paraId="44255A17" w14:textId="77777777" w:rsidR="000A2EB2" w:rsidRDefault="00000000">
      <w:pPr>
        <w:pStyle w:val="Heading2"/>
      </w:pPr>
      <w:r>
        <w:t>7.4 Poison Pill Mechanics and Legal Validity: Moran v. Household International</w:t>
      </w:r>
    </w:p>
    <w:p w14:paraId="67FDEC49" w14:textId="77777777" w:rsidR="000A2EB2" w:rsidRDefault="00000000">
      <w:r>
        <w:t>The poison pill was invented in 1982 by takeover lawyer Martin Lipton as a defense against the hostile-takeover wave of the early 1980s, and its legal validity was tested and confirmed in the landmark case Moran v. Household International, Inc., 500 A.2d 1346 (Del. 1985).</w:t>
      </w:r>
    </w:p>
    <w:p w14:paraId="135E94BF" w14:textId="77777777" w:rsidR="000A2EB2" w:rsidRDefault="00000000">
      <w:r>
        <w:lastRenderedPageBreak/>
        <w:t>Household International's board adopted a rights plan with no specific takeover threat on the table: if any party acquired 20% or more of Household's stock, every other shareholder would automatically gain the right to buy additional Household shares at a steep discount. Exercised broadly, that right would massively dilute the acquirer's stake, making further accumulation prohibitively expensive. A Household director and shareholder, John Moran, sued, arguing the board had no authority to adopt such a plan without a specific threat on the table.</w:t>
      </w:r>
    </w:p>
    <w:p w14:paraId="2E7D3044" w14:textId="77777777" w:rsidR="000A2EB2" w:rsidRDefault="00000000">
      <w:r>
        <w:t>The Delaware Supreme Court upheld the plan under the enhanced-scrutiny standard it had just set out in Unocal Corp. v. Mesa Petroleum Co. (1985): a defensive measure is valid if the board reasonably believed a threat existed and its response was proportionate, not preclusive. Critically, the Court found the pill did not close every avenue to an acquirer -- a determined bidder could still win a proxy contest to replace the board (which could then redeem the pill), or make an all-cash offer attractive enough that the board would redeem it voluntarily. Moran is best read not as a green light for an impenetrable defense, but as approval for a defense that remains, in practice, surmountable through the shareholder vote.</w:t>
      </w:r>
    </w:p>
    <w:p w14:paraId="13B1621E" w14:textId="77777777" w:rsidR="000A2EB2" w:rsidRDefault="00000000">
      <w:r>
        <w:t>Mechanically, a pill works through two triggers. A flip-in trigger fires when the acquirer itself crosses the ownership threshold: every other shareholder can buy target shares at a discount, diluting only the acquirer. A flip-over trigger fires if the acquirer completes a merger anyway: target shareholders can then buy discounted shares in the surviving company, closing the loophole of a two-step takeover. Modern pills adopted in activist (rather than hostile-takeover) situations tend to be narrower and time-limited -- for example, "NOL pills" that protect tax loss carryforwards, or one-year "activist-response pills" that sunset automatically absent shareholder approval, reflecting Malatesta &amp; Walkling's (1988) finding that open-ended, unconditional pills draw the sharpest market and governance-advisor pushback.</w:t>
      </w:r>
    </w:p>
    <w:p w14:paraId="170DE255" w14:textId="77777777" w:rsidR="000A2EB2" w:rsidRDefault="00000000">
      <w:pPr>
        <w:pStyle w:val="Heading2"/>
      </w:pPr>
      <w:r>
        <w:t>7.5 Staggered Board Mechanics: Full Detail</w:t>
      </w:r>
    </w:p>
    <w:p w14:paraId="0AB08AA8" w14:textId="77777777" w:rsidR="000A2EB2" w:rsidRDefault="00000000">
      <w:r>
        <w:t>Part IV introduced the staggered board and Bebchuk, Coates &amp; Subramanian's (2002) finding that it is a far stronger defense than commonly assumed. Here is the mechanism in full.</w:t>
      </w:r>
    </w:p>
    <w:p w14:paraId="31C41637" w14:textId="77777777" w:rsidR="000A2EB2" w:rsidRDefault="00000000">
      <w:r>
        <w:t>A classified board splits directors into three roughly equal classes, with only one class up for election each year -- so each director serves a three-year term and about a third of the board turns over annually. Two companion provisions make the defense bite: directors typically can be removed only "for cause," not by an ordinary majority vote, and un-classifying the board usually requires a supermajority vote (commonly 66.67% or 80%), so even a winning activist cannot easily unwind the structure afterward.</w:t>
      </w:r>
    </w:p>
    <w:p w14:paraId="4A9504E3" w14:textId="77777777" w:rsidR="000A2EB2" w:rsidRDefault="00000000">
      <w:r>
        <w:t>Put together: an activist who wins every contested seat in one election cycle -- the best possible single-year outcome -- still controls only about a third of the board, and must repeat the win in one or two more annual meetings, a minimum of two to three years, to gain outright control. Bebchuk, Coates &amp; Subramanian's empirical contribution was showing that this delay roughly doubles the odds a hostile bid is deterred entirely or forced to a materially higher price, because the target board gains real negotiating leverage and the multi-year horizon itself scares off many disciplined acquirers.</w:t>
      </w:r>
    </w:p>
    <w:p w14:paraId="51E94830" w14:textId="77777777" w:rsidR="000A2EB2" w:rsidRDefault="00000000">
      <w:r>
        <w:t xml:space="preserve">Staggered boards became far less common among large-cap U.S. firms through the 2010s and 2020s, driven by a sustained campaign from institutional investors (the Harvard Shareholder Rights Project, reinforced by ISS and Glass Lewis voting-policy pressure) to persuade S&amp;P 500 companies to declassify voluntarily. By the mid-2020s they were a minority practice among S&amp;P 500 constituents, though still common at smaller-cap </w:t>
      </w:r>
      <w:r>
        <w:lastRenderedPageBreak/>
        <w:t>and recently-IPO'd companies -- particularly those with significant founder or family control, which often keep a staggered board precisely as continued insulation from activist pressure.</w:t>
      </w:r>
    </w:p>
    <w:p w14:paraId="7D833D77" w14:textId="77777777" w:rsidR="000A2EB2" w:rsidRDefault="00000000">
      <w:pPr>
        <w:pStyle w:val="Heading2"/>
      </w:pPr>
      <w:r>
        <w:t>7.6 Proxy Contest Mechanics and the SEC's 2022 Universal Proxy Card Rule</w:t>
      </w:r>
    </w:p>
    <w:p w14:paraId="2ED9EAE1" w14:textId="77777777" w:rsidR="000A2EB2" w:rsidRDefault="00000000">
      <w:r>
        <w:t>Part III covered the basics of a proxy contest and the role of ISS and Glass Lewis as gatekeepers. Here we cover the single biggest procedural change to U.S. proxy contests in decades: the SEC's universal proxy card.</w:t>
      </w:r>
    </w:p>
    <w:p w14:paraId="79147BE6" w14:textId="77777777" w:rsidR="000A2EB2" w:rsidRDefault="00000000">
      <w:r>
        <w:t>Before the rule change, a contested board election ran on two separate proxy cards -- one from management, listing only its own nominees, and one from the dissident, listing only its own. A shareholder who wanted a split-ticket outcome, say three management nominees and two dissident nominees out of five open seats, faced real practical difficulty submitting that mix through two single-slate cards. In practice this default favored whichever side could count on straight-ticket voting, usually incumbent management, since index funds historically leaned toward the status quo absent a specific reason to back a dissident.</w:t>
      </w:r>
    </w:p>
    <w:p w14:paraId="21E20F4E" w14:textId="77777777" w:rsidR="000A2EB2" w:rsidRDefault="00000000">
      <w:r>
        <w:t>The SEC adopted the universal proxy rule on November 17, 2021 (Release No. 34-93596), effective January 31, 2022 and applied to meetings after August 31, 2022 -- so the 2023 season was the first full season under the new regime. Now every contested election uses one card listing all nominees from all sides, typically alphabetically with no indication of which side nominated whom, so any shareholder can mix and match up to the number of open seats.</w:t>
      </w:r>
    </w:p>
    <w:p w14:paraId="7871FAC6" w14:textId="77777777" w:rsidR="000A2EB2" w:rsidRDefault="00000000">
      <w:r>
        <w:t>By 2026, the consensus among proxy solicitors is that the rule has modestly favored activists running partial-slate campaigns -- nominating two or three candidates for a nine-seat board rather than a full slate -- because index funds voting mechanically off ISS/Glass Lewis recommendations can now easily express a genuine split-ticket preference instead of defaulting to a straight incumbent vote. That shift lines up with the H1 2026 data in Part II: board seats won per campaign fell (25 seats across 15 companies in H1 2026 versus 31 across 19 in H1 2025) even as overall campaign volume rose -- consistent with more activists running narrower, universal-proxy-optimized campaigns rather than fewer running all-or-nothing full-slate contests.</w:t>
      </w:r>
    </w:p>
    <w:p w14:paraId="47AE7D28" w14:textId="77777777" w:rsidR="000A2EB2" w:rsidRDefault="00000000">
      <w:pPr>
        <w:pStyle w:val="Heading2"/>
      </w:pPr>
      <w:r>
        <w:t>7.7 "Just Vote No" Campaigns and Withhold-Vote Mechanics</w:t>
      </w:r>
    </w:p>
    <w:p w14:paraId="0C0451DC" w14:textId="77777777" w:rsidR="000A2EB2" w:rsidRDefault="00000000">
      <w:r>
        <w:t>Not every activist campaign escalates to a competing director slate. A cheaper tool that predates, and still runs alongside, the full proxy contest is the "just vote no" (or withhold-vote) campaign: instead of nominating an alternative candidate, the activist -- or a coalition of institutional investors with no hedge-fund sponsor at all -- publicly urges shareholders to withhold votes from one or more incumbent directors in an otherwise uncontested election, usually to protest excessive pay, poor risk oversight, or a board's failure to act on a prior shareholder proposal.</w:t>
      </w:r>
    </w:p>
    <w:p w14:paraId="1CC50EBC" w14:textId="77777777" w:rsidR="000A2EB2" w:rsidRDefault="00000000">
      <w:r>
        <w:t>The tool's power is reputational, not legal. Under the plurality-voting standard many companies still use for uncontested elections, a nominee can win with a single "for" vote if no one is running against them, so a withhold campaign that falls short of unanimity has no automatic legal effect. What it does have is a public signal: a director who draws a large withhold vote (commonly, anything below roughly 70-80% "for") faces real reputational cost, especially since ISS and Glass Lewis will often recommend withholding again the following year if the board does not visibly respond. Many companies have adopted majority-voting bylaws -- an automatic resignation offer if a director fails to win a majority -- precisely because plurality voting otherwise blunts the legal force of even an overwhelming withhold campaign.</w:t>
      </w:r>
    </w:p>
    <w:p w14:paraId="4ED30369" w14:textId="77777777" w:rsidR="000A2EB2" w:rsidRDefault="00000000">
      <w:r>
        <w:lastRenderedPageBreak/>
        <w:t>"Just vote no" campaigns appeal to activists, and especially to pension funds and labor-affiliated investors who may not want the cost or legal exposure of a full 13D campaign, because they skip almost the entire cost structure Gantchev (2013) documents for full contests: no alternative candidate to vet and defend, no competing proxy statement, no solicitor canvassing the shareholder base. A public letter, a media push, and direct outreach to the largest index funds can accomplish the goal at a small fraction of Gantchev's $10.7 million average full-contest cost -- making it a natural first step for an activist still deciding whether its thesis justifies a much larger campaign.</w:t>
      </w:r>
    </w:p>
    <w:p w14:paraId="1036A711" w14:textId="77777777" w:rsidR="000A2EB2" w:rsidRDefault="00000000">
      <w:pPr>
        <w:pStyle w:val="Heading2"/>
      </w:pPr>
      <w:r>
        <w:t>7.8 ESG-Linked Activism as a New Archetype</w:t>
      </w:r>
    </w:p>
    <w:p w14:paraId="1BB3FB70" w14:textId="77777777" w:rsidR="000A2EB2" w:rsidRDefault="00000000">
      <w:r>
        <w:t>The literature reviewed so far treats activist demands almost entirely as financial: capital allocation, cost discipline, portfolio break-up, governance reform, all justified by their effect on shareholder returns. Engine No. 1's 2021 campaign against ExxonMobil (full case in Part VIII, section 8.8) introduced a genuinely different archetype that the 2026 literature now treats as its own category: ESG-linked, or "sustainability thesis," activism. The explicit demand is a shift in strategy toward climate transition risk, but the campaign mechanics -- stake-building, board nominations, proxy solicitation -- are identical to a conventional financial campaign, and the thesis is framed deliberately in financial-materiality terms, not purely values-based ones.</w:t>
      </w:r>
    </w:p>
    <w:p w14:paraId="62C1BD5E" w14:textId="77777777" w:rsidR="000A2EB2" w:rsidRDefault="00000000">
      <w:r>
        <w:t>This archetype matters for three reasons. First, it shows that the free-rider-solving logic of concentrated-stake activism (Grossman &amp; Hart, 1980; section 7.1) does not care what the thesis is about: Engine No. 1 won board seats at one of the world's largest companies with a stake of roughly 0.02% of shares outstanding, because success depended not on its own stake size but on persuading BlackRock, Vanguard, and State Street -- index funds that hold permanent, undiversifiable exposure to climate transition risk across their entire portfolios -- that voting for its nominees served their own long-run financial interest.</w:t>
      </w:r>
    </w:p>
    <w:p w14:paraId="3D8ABC81" w14:textId="77777777" w:rsidR="000A2EB2" w:rsidRDefault="00000000">
      <w:r>
        <w:t>Second, this is a different coalition mechanism than the wolf-pack coordination in section 7.3. Rather than several hedge funds pooling stakes, Engine No. 1 persuaded the "Big Three" index managers -- whose combined ~21% voting stake in ExxonMobil dwarfed its own position by three orders of magnitude -- to vote shares they already held passively. Third, and most consequential theoretically, ESG-linked activism raises the question Kahan &amp; Rock (2007) flagged as unresolved: is shareholder-value-maximization the same objective as long-run enterprise value once climate, regulatory, and reputational risk are priced in over decades, or is climate-risk mitigation a partially distinct goal that can be in tension with near-term returns? The full facts and debate are in the Engine No. 1 vignette in Part VIII.</w:t>
      </w:r>
    </w:p>
    <w:p w14:paraId="0E6E7649" w14:textId="77777777" w:rsidR="000A2EB2" w:rsidRDefault="00000000">
      <w:r>
        <w:br w:type="page"/>
      </w:r>
    </w:p>
    <w:p w14:paraId="3EBC84B1" w14:textId="77777777" w:rsidR="000A2EB2" w:rsidRDefault="00000000">
      <w:pPr>
        <w:pStyle w:val="Heading1"/>
      </w:pPr>
      <w:r>
        <w:lastRenderedPageBreak/>
        <w:t>Part VIII -- Full Case Vignettes: Ten Major Activist Campaigns</w:t>
      </w:r>
    </w:p>
    <w:p w14:paraId="613B60A7" w14:textId="77777777" w:rsidR="000A2EB2" w:rsidRDefault="00000000">
      <w:r>
        <w:t>Part VIII presents ten full case vignettes of major activist campaigns, each including the facts, timeline, tactics used, outcome, and an analytical takeaway connecting the case to the theoretical apparatus developed in Parts I, IV, and VII. These vignettes are intended for close reading and in-class discussion; instructors may assign individual vignettes for student-led case presentations.</w:t>
      </w:r>
    </w:p>
    <w:p w14:paraId="3DF7C527" w14:textId="77777777" w:rsidR="000A2EB2" w:rsidRDefault="00000000">
      <w:pPr>
        <w:pStyle w:val="Heading2"/>
      </w:pPr>
      <w:r>
        <w:t>8.0 Note on the Case Vignettes Below: Academic Illustrations, Not Running Cases</w:t>
      </w:r>
    </w:p>
    <w:p w14:paraId="655344E1" w14:textId="77777777" w:rsidR="000A2EB2" w:rsidRDefault="00000000">
      <w:r>
        <w:t>The ten Western campaigns profiled in this Part are included as brief, well-documented illustrations of classic activism mechanics -- they are teaching examples, not the running cases of this course. The three companies this reader analyzes in depth throughout, as both targets and subjects of activism-and-resistance dynamics, are Koc Holding, Sabanci Holding, and Turkish Airlines (THY); see Part IX. Table 8.0 below summarizes the Western illustrations at a glance before the full vignettes.</w:t>
      </w:r>
    </w:p>
    <w:tbl>
      <w:tblPr>
        <w:tblW w:w="9720" w:type="dxa"/>
        <w:tblLayout w:type="fixed"/>
        <w:tblCellMar>
          <w:left w:w="10" w:type="dxa"/>
          <w:right w:w="10" w:type="dxa"/>
        </w:tblCellMar>
        <w:tblLook w:val="04A0" w:firstRow="1" w:lastRow="0" w:firstColumn="1" w:lastColumn="0" w:noHBand="0" w:noVBand="1"/>
      </w:tblPr>
      <w:tblGrid>
        <w:gridCol w:w="2916"/>
        <w:gridCol w:w="1458"/>
        <w:gridCol w:w="2916"/>
        <w:gridCol w:w="2430"/>
      </w:tblGrid>
      <w:tr w:rsidR="000A2EB2" w14:paraId="6FFEFE84" w14:textId="77777777">
        <w:tblPrEx>
          <w:tblCellMar>
            <w:top w:w="0" w:type="dxa"/>
            <w:bottom w:w="0" w:type="dxa"/>
          </w:tblCellMar>
        </w:tblPrEx>
        <w:tc>
          <w:tcPr>
            <w:tcW w:w="2916" w:type="dxa"/>
            <w:shd w:val="clear" w:color="auto" w:fill="DCE6F1"/>
          </w:tcPr>
          <w:p w14:paraId="4686522A" w14:textId="77777777" w:rsidR="000A2EB2" w:rsidRDefault="00000000">
            <w:r>
              <w:rPr>
                <w:b/>
              </w:rPr>
              <w:t>Campaign</w:t>
            </w:r>
          </w:p>
        </w:tc>
        <w:tc>
          <w:tcPr>
            <w:tcW w:w="1458" w:type="dxa"/>
            <w:shd w:val="clear" w:color="auto" w:fill="DCE6F1"/>
          </w:tcPr>
          <w:p w14:paraId="2A0AFAB6" w14:textId="77777777" w:rsidR="000A2EB2" w:rsidRDefault="00000000">
            <w:r>
              <w:rPr>
                <w:b/>
              </w:rPr>
              <w:t>Year(s)</w:t>
            </w:r>
          </w:p>
        </w:tc>
        <w:tc>
          <w:tcPr>
            <w:tcW w:w="2916" w:type="dxa"/>
            <w:shd w:val="clear" w:color="auto" w:fill="DCE6F1"/>
          </w:tcPr>
          <w:p w14:paraId="0240EFB6" w14:textId="77777777" w:rsidR="000A2EB2" w:rsidRDefault="00000000">
            <w:r>
              <w:rPr>
                <w:b/>
              </w:rPr>
              <w:t>Core Demand</w:t>
            </w:r>
          </w:p>
        </w:tc>
        <w:tc>
          <w:tcPr>
            <w:tcW w:w="2430" w:type="dxa"/>
            <w:shd w:val="clear" w:color="auto" w:fill="DCE6F1"/>
          </w:tcPr>
          <w:p w14:paraId="1038D98F" w14:textId="77777777" w:rsidR="000A2EB2" w:rsidRDefault="00000000">
            <w:r>
              <w:rPr>
                <w:b/>
              </w:rPr>
              <w:t>Role in This Reader</w:t>
            </w:r>
          </w:p>
        </w:tc>
      </w:tr>
      <w:tr w:rsidR="000A2EB2" w14:paraId="75C6F44B" w14:textId="77777777">
        <w:tblPrEx>
          <w:tblCellMar>
            <w:top w:w="0" w:type="dxa"/>
            <w:bottom w:w="0" w:type="dxa"/>
          </w:tblCellMar>
        </w:tblPrEx>
        <w:tc>
          <w:tcPr>
            <w:tcW w:w="2916" w:type="dxa"/>
          </w:tcPr>
          <w:p w14:paraId="24770E4F" w14:textId="77777777" w:rsidR="000A2EB2" w:rsidRDefault="00000000">
            <w:r>
              <w:t>Icahn vs. Apple</w:t>
            </w:r>
          </w:p>
        </w:tc>
        <w:tc>
          <w:tcPr>
            <w:tcW w:w="1458" w:type="dxa"/>
          </w:tcPr>
          <w:p w14:paraId="066CA606" w14:textId="77777777" w:rsidR="000A2EB2" w:rsidRDefault="00000000">
            <w:r>
              <w:t>2013-2016</w:t>
            </w:r>
          </w:p>
        </w:tc>
        <w:tc>
          <w:tcPr>
            <w:tcW w:w="2916" w:type="dxa"/>
          </w:tcPr>
          <w:p w14:paraId="1129E5EF" w14:textId="77777777" w:rsidR="000A2EB2" w:rsidRDefault="00000000">
            <w:r>
              <w:t>Larger share buyback</w:t>
            </w:r>
          </w:p>
        </w:tc>
        <w:tc>
          <w:tcPr>
            <w:tcW w:w="2430" w:type="dxa"/>
          </w:tcPr>
          <w:p w14:paraId="0F66CCAE" w14:textId="77777777" w:rsidR="000A2EB2" w:rsidRDefault="00000000">
            <w:r>
              <w:t>Brief illustration of capital-allocation activism</w:t>
            </w:r>
          </w:p>
        </w:tc>
      </w:tr>
      <w:tr w:rsidR="000A2EB2" w14:paraId="200A16EC" w14:textId="77777777">
        <w:tblPrEx>
          <w:tblCellMar>
            <w:top w:w="0" w:type="dxa"/>
            <w:bottom w:w="0" w:type="dxa"/>
          </w:tblCellMar>
        </w:tblPrEx>
        <w:tc>
          <w:tcPr>
            <w:tcW w:w="2916" w:type="dxa"/>
            <w:shd w:val="clear" w:color="auto" w:fill="F2F2F2"/>
          </w:tcPr>
          <w:p w14:paraId="6C96CD37" w14:textId="77777777" w:rsidR="000A2EB2" w:rsidRDefault="00000000">
            <w:r>
              <w:t>Elliott vs. AT&amp;T</w:t>
            </w:r>
          </w:p>
        </w:tc>
        <w:tc>
          <w:tcPr>
            <w:tcW w:w="1458" w:type="dxa"/>
            <w:shd w:val="clear" w:color="auto" w:fill="F2F2F2"/>
          </w:tcPr>
          <w:p w14:paraId="704BAD71" w14:textId="77777777" w:rsidR="000A2EB2" w:rsidRDefault="00000000">
            <w:r>
              <w:t>2019-2021</w:t>
            </w:r>
          </w:p>
        </w:tc>
        <w:tc>
          <w:tcPr>
            <w:tcW w:w="2916" w:type="dxa"/>
            <w:shd w:val="clear" w:color="auto" w:fill="F2F2F2"/>
          </w:tcPr>
          <w:p w14:paraId="2249A8A3" w14:textId="77777777" w:rsidR="000A2EB2" w:rsidRDefault="00000000">
            <w:r>
              <w:t>Portfolio focus, cost discipline</w:t>
            </w:r>
          </w:p>
        </w:tc>
        <w:tc>
          <w:tcPr>
            <w:tcW w:w="2430" w:type="dxa"/>
            <w:shd w:val="clear" w:color="auto" w:fill="F2F2F2"/>
          </w:tcPr>
          <w:p w14:paraId="7ED72DEF" w14:textId="77777777" w:rsidR="000A2EB2" w:rsidRDefault="00000000">
            <w:r>
              <w:t>Brief illustration of M&amp;A-driven activism</w:t>
            </w:r>
          </w:p>
        </w:tc>
      </w:tr>
      <w:tr w:rsidR="000A2EB2" w14:paraId="37875C58" w14:textId="77777777">
        <w:tblPrEx>
          <w:tblCellMar>
            <w:top w:w="0" w:type="dxa"/>
            <w:bottom w:w="0" w:type="dxa"/>
          </w:tblCellMar>
        </w:tblPrEx>
        <w:tc>
          <w:tcPr>
            <w:tcW w:w="2916" w:type="dxa"/>
          </w:tcPr>
          <w:p w14:paraId="3E1E2131" w14:textId="77777777" w:rsidR="000A2EB2" w:rsidRDefault="00000000">
            <w:r>
              <w:t>Engine No. 1 vs. ExxonMobil</w:t>
            </w:r>
          </w:p>
        </w:tc>
        <w:tc>
          <w:tcPr>
            <w:tcW w:w="1458" w:type="dxa"/>
          </w:tcPr>
          <w:p w14:paraId="24EC3D41" w14:textId="77777777" w:rsidR="000A2EB2" w:rsidRDefault="00000000">
            <w:r>
              <w:t>2020-2021</w:t>
            </w:r>
          </w:p>
        </w:tc>
        <w:tc>
          <w:tcPr>
            <w:tcW w:w="2916" w:type="dxa"/>
          </w:tcPr>
          <w:p w14:paraId="15F6A209" w14:textId="77777777" w:rsidR="000A2EB2" w:rsidRDefault="00000000">
            <w:r>
              <w:t>Board seats on climate-transition grounds</w:t>
            </w:r>
          </w:p>
        </w:tc>
        <w:tc>
          <w:tcPr>
            <w:tcW w:w="2430" w:type="dxa"/>
          </w:tcPr>
          <w:p w14:paraId="31B2E852" w14:textId="77777777" w:rsidR="000A2EB2" w:rsidRDefault="00000000">
            <w:r>
              <w:t>Brief illustration of ESG-linked activism and index-fund coalitions</w:t>
            </w:r>
          </w:p>
        </w:tc>
      </w:tr>
      <w:tr w:rsidR="000A2EB2" w14:paraId="0FB58425" w14:textId="77777777">
        <w:tblPrEx>
          <w:tblCellMar>
            <w:top w:w="0" w:type="dxa"/>
            <w:bottom w:w="0" w:type="dxa"/>
          </w:tblCellMar>
        </w:tblPrEx>
        <w:tc>
          <w:tcPr>
            <w:tcW w:w="2916" w:type="dxa"/>
            <w:shd w:val="clear" w:color="auto" w:fill="F2F2F2"/>
          </w:tcPr>
          <w:p w14:paraId="5EEE6B8B" w14:textId="77777777" w:rsidR="000A2EB2" w:rsidRDefault="00000000">
            <w:r>
              <w:t>Trian / Peltz vs. Disney</w:t>
            </w:r>
          </w:p>
        </w:tc>
        <w:tc>
          <w:tcPr>
            <w:tcW w:w="1458" w:type="dxa"/>
            <w:shd w:val="clear" w:color="auto" w:fill="F2F2F2"/>
          </w:tcPr>
          <w:p w14:paraId="7BA08996" w14:textId="77777777" w:rsidR="000A2EB2" w:rsidRDefault="00000000">
            <w:r>
              <w:t>2023-2024</w:t>
            </w:r>
          </w:p>
        </w:tc>
        <w:tc>
          <w:tcPr>
            <w:tcW w:w="2916" w:type="dxa"/>
            <w:shd w:val="clear" w:color="auto" w:fill="F2F2F2"/>
          </w:tcPr>
          <w:p w14:paraId="58CB3461" w14:textId="77777777" w:rsidR="000A2EB2" w:rsidRDefault="00000000">
            <w:r>
              <w:t>Board seats, cost discipline, succession</w:t>
            </w:r>
          </w:p>
        </w:tc>
        <w:tc>
          <w:tcPr>
            <w:tcW w:w="2430" w:type="dxa"/>
            <w:shd w:val="clear" w:color="auto" w:fill="F2F2F2"/>
          </w:tcPr>
          <w:p w14:paraId="06A554DE" w14:textId="77777777" w:rsidR="000A2EB2" w:rsidRDefault="00000000">
            <w:r>
              <w:t>Brief illustration of a defeated proxy contest</w:t>
            </w:r>
          </w:p>
        </w:tc>
      </w:tr>
    </w:tbl>
    <w:p w14:paraId="419B3B76" w14:textId="77777777" w:rsidR="000A2EB2" w:rsidRDefault="00000000">
      <w:r>
        <w:t>Contrast the disciplined, financially-focused demands above with the very different resistance dynamics analyzed in Part IX for Koc, Sabanci, and THY, where concentrated family and state ownership -- not board or shareholder votes -- is the binding constraint on any activist campaign.</w:t>
      </w:r>
    </w:p>
    <w:p w14:paraId="7B44E44C" w14:textId="77777777" w:rsidR="000A2EB2" w:rsidRDefault="000A2EB2"/>
    <w:p w14:paraId="1CF72DEC" w14:textId="77777777" w:rsidR="000A2EB2" w:rsidRDefault="00000000">
      <w:pPr>
        <w:pStyle w:val="Heading2"/>
      </w:pPr>
      <w:r>
        <w:t>8.1 Carl Icahn vs. Apple Inc. (2013-2016): The Buyback Campaign</w:t>
      </w:r>
    </w:p>
    <w:p w14:paraId="51A98961" w14:textId="77777777" w:rsidR="000A2EB2" w:rsidRDefault="00000000">
      <w:r>
        <w:t xml:space="preserve">Facts and timeline. Carl Icahn, through Icahn Enterprises, disclosed a stake in Apple Inc. in August 2013 and publicly began pressing the company, then sitting on approximately $147 billion of cash and marketable securities, to undertake a dramatically larger share buyback program than the $60 billion program Apple had announced in April 2013. Icahn's public campaign was waged primarily through open letters to CEO Tim Cook and the Apple board, television appearances, and an active Twitter presence, rather than through a proxy contest or board nomination; Icahn explicitly stated his intent not to seek board representation, framing the campaign purely around capital-allocation policy. In October 2013, Icahn disclosed he had increased his stake to roughly $1.5 billion (later reported at a peak of approximately $2 billion, still well under 1% of Apple's market capitalization given Apple's scale), and in January 2014 he escalated by filing a non-binding shareholder proposal calling for a $50 billion increase in Apple's buyback authorization, to be voted on at Apple's February 2014 annual meeting. Icahn withdrew the formal proposal shortly before the </w:t>
      </w:r>
      <w:r>
        <w:lastRenderedPageBreak/>
        <w:t>vote, in part after ISS recommended shareholders vote against it as unnecessary given Apple's already-announced capital-return plans, but continued public pressure. Apple's board, under Tim Cook and CFO Luca Maestri, progressively expanded its capital-return program over 2013-2016, ultimately authorizing cumulative buybacks and dividends well in excess of $200 billion by the time Icahn exited the position; Icahn disclosed in April 2016 that he had sold his entire remaining Apple stake, citing concerns about Apple's China exposure rather than dissatisfaction with the buyback outcome.</w:t>
      </w:r>
    </w:p>
    <w:p w14:paraId="7008357D" w14:textId="77777777" w:rsidR="000A2EB2" w:rsidRDefault="00000000">
      <w:r>
        <w:t>Tactics. This is a paradigmatic example of a capital-allocation activist campaign waged entirely through public pressure and media/investor-letter tactics rather than a board contest — consistent with the lower-cost "just vote no"-adjacent escalation logic described in Part VII, section 7.7, though Icahn's campaign used public letters and media rather than a formal withhold-vote mechanism. Icahn's own stake, while large in absolute dollar terms, was a small fraction of Apple's total market capitalization (Apple's market cap exceeded $450 billion for most of the campaign period), illustrating that at extreme scale, even a multi-billion-dollar activist stake cannot alone force change through voting power; the campaign's leverage came from public reputational pressure and the argument's substantive merit (that Apple's cash hoard was earning a low return and that a larger buyback, at what Icahn argued was a still-undervalued stock price, would be accretive to remaining shareholders), amplified by Icahn's public profile.</w:t>
      </w:r>
    </w:p>
    <w:p w14:paraId="05F8E1CB" w14:textId="77777777" w:rsidR="000A2EB2" w:rsidRDefault="00000000">
      <w:r>
        <w:t>Outcome and analytical takeaway. Apple did not adopt Icahn's specific $50 billion incremental buyback proposal as formally framed, but its capital-return policy trajectory over 2013-2016 was directionally consistent with Icahn's thesis, and Apple's stock price roughly doubled over the campaign period (from the low $60s split-adjusted in August 2013 to over $105 by April 2016), allowing both Icahn and continuing Apple shareholders to benefit regardless of the precise causal attribution between the buyback campaign and the stock's performance. The case is frequently used to illustrate that not every successful activist engagement requires a board seat or a proxy contest: capital-allocation theses, when substantively well-supported and championed by a high-profile activist, can move corporate policy through public pressure and reputational channels alone, particularly at companies (like Apple) with such a large, liquid, and reputation-sensitive shareholder base that a sustained public campaign imposes real reputational cost on management even absent any formal voting threat.</w:t>
      </w:r>
    </w:p>
    <w:p w14:paraId="37FAD315" w14:textId="77777777" w:rsidR="000A2EB2" w:rsidRDefault="00000000">
      <w:pPr>
        <w:pStyle w:val="Heading2"/>
      </w:pPr>
      <w:r>
        <w:t>8.2 Daniel Loeb / Third Point vs. Yahoo! Inc. (2011-2012): Board Seats Won</w:t>
      </w:r>
    </w:p>
    <w:p w14:paraId="2C809828" w14:textId="77777777" w:rsidR="000A2EB2" w:rsidRDefault="00000000">
      <w:r>
        <w:t>Facts and timeline. Daniel Loeb's Third Point LLC disclosed a roughly 5.1% stake in Yahoo! Inc. in September 2011 and launched a public campaign criticizing Yahoo's board and management for the company's prolonged strategic drift, underperformance relative to internet-sector peers, and mishandling of its valuable minority stakes in Alibaba Group and Yahoo Japan. Loeb's campaign escalated sharply in May 2012 when Third Point publicly revealed that newly appointed Yahoo CEO Scott Thompson's official biography materially misstated his academic credentials (claiming a computer science degree he did not hold), a discovery Third Point had made through its own diligence and used as the proximate trigger to demand board seats and Thompson's removal. The credential controversy forced Thompson's resignation within days of Third Point's disclosure, and in July 2012 Yahoo's board, facing an active Third Point proxy solicitation for the upcoming annual meeting, settled by appointing Daniel Loeb and two Third Point-affiliated nominees (Harry Wilson and Michael Wolf) to the Yahoo board, alongside the separate, board-led decision to recruit Marissa Mayer as the new CEO the same month.</w:t>
      </w:r>
    </w:p>
    <w:p w14:paraId="5C5A13F7" w14:textId="77777777" w:rsidR="000A2EB2" w:rsidRDefault="00000000">
      <w:r>
        <w:lastRenderedPageBreak/>
        <w:t>Tactics. This campaign combined a conventional activist thesis (strategic underperformance, undervalued Asian equity stakes) with an opportunistic escalation trigger (the CEO credentials controversy) that dramatically increased the pressure for a negotiated settlement without requiring a full contested vote; the credential disclosure functioned as a reputational shock that made the incumbent board's negotiating position untenable, illustrating how activist campaigns can escalate through unanticipated information discovery as well as through the planned sequence (private engagement, public letter, nomination, proxy fight) described in Part I.</w:t>
      </w:r>
    </w:p>
    <w:p w14:paraId="06BCD7FB" w14:textId="77777777" w:rsidR="000A2EB2" w:rsidRDefault="00000000">
      <w:r>
        <w:t>Outcome and analytical takeaway. Third Point's board representation coincided with, and by most market and press accounts contributed to, a period of significant strategic refocus at Yahoo, including capital return to shareholders and, ultimately, the 2013 sale of a portion of Yahoo's Alibaba stake that Third Point had specifically identified as undervalued and under-monetized. Loeb and his fellow Third Point nominees resigned from the Yahoo board in 2013 after Third Point sold the bulk of its Yahoo stake at a substantial profit, a sequencing (board seats followed by a relatively short holding period before profitable exit) that is frequently cited in the Kahan &amp; Rock (2007) debate (Part VII, section 7.2) over whether activist time horizons are systematically shorter than optimal for long-run firm value, since Third Point's own board tenure was brief relative to the multi-year strategic overhaul that continued at Yahoo under Mayer long after Third Point's exit.</w:t>
      </w:r>
    </w:p>
    <w:p w14:paraId="15B66538" w14:textId="77777777" w:rsidR="000A2EB2" w:rsidRDefault="00000000">
      <w:pPr>
        <w:pStyle w:val="Heading2"/>
      </w:pPr>
      <w:r>
        <w:t>8.3 Starboard Value vs. Darden Restaurants (2013-2014): Full Board Replacement</w:t>
      </w:r>
    </w:p>
    <w:p w14:paraId="1155CF31" w14:textId="77777777" w:rsidR="000A2EB2" w:rsidRDefault="00000000">
      <w:r>
        <w:t>Facts and timeline. Starboard Value LP began accumulating a stake in Darden Restaurants (owner of Olive Garden, LongHorn Steakhouse, and other casual-dining brands) in 2013, escalating its public campaign after Darden's board approved the sale of the Red Lobster chain in May 2014 for approximately $2.1 billion — a transaction Starboard publicly and vociferously opposed as rushed, poorly timed, and structured (a sale-leaseback of Red Lobster's owned real estate as part of the transaction) in a way that Starboard argued destroyed value relative to alternative approaches. Having failed to stop the Red Lobster sale, Starboard escalated to a full proxy contest, nominating a complete slate of twelve director candidates for all twelve of Darden's board seats at the October 2014 annual meeting — an unusually aggressive "clean sweep" nomination rather than the more typical partial-slate approach.</w:t>
      </w:r>
    </w:p>
    <w:p w14:paraId="23FA46F8" w14:textId="77777777" w:rsidR="000A2EB2" w:rsidRDefault="00000000">
      <w:r>
        <w:t>Tactics. Starboard's campaign combined an extremely detailed, publicly released 294-slide strategic analysis (an unusually granular level of operational and financial detail for an activist white paper, covering topics from Olive Garden's breadstick policy and restaurant-level cost structure to real estate strategy) with the maximalist tactical choice of nominating a full competing slate for the entire board, rather than the two-or-three-seat partial slate that is more common in negotiated-settlement-track campaigns; this made a negotiated partial settlement structurally difficult (Darden's board had little room to offer "some but not all" seats when Starboard had nominated a complete replacement slate) and effectively forced the confrontation to a full shareholder vote.</w:t>
      </w:r>
    </w:p>
    <w:p w14:paraId="53816C76" w14:textId="77777777" w:rsidR="000A2EB2" w:rsidRDefault="00000000">
      <w:r>
        <w:t xml:space="preserve">Outcome and analytical takeaway. At the October 2014 annual meeting, Starboard's entire twelve-nominee slate won, replacing the company's full incumbent board in one of the largest and most complete board overhauls achieved by an activist in a single proxy vote in the history of U.S. shareholder activism to that point. This outcome stands in direct contrast to the staggered-board dynamics discussed in Part VII, section 7.5: Darden had a single-class (non-staggered) board, meaning the entire board was up for election simultaneously, which is precisely the structural precondition (per Bebchuk, Coates &amp; Subramanian's 2002 </w:t>
      </w:r>
      <w:r>
        <w:lastRenderedPageBreak/>
        <w:t>analysis) that made a complete one-election board takeover mechanically possible at all — a staggered board at the same company facing the identical Starboard campaign could have limited Starboard, at most, to replacing only the roughly one-third of directors up for election that year. The new Starboard-nominated board subsequently installed a new CEO (Gene Lee) and pursued a "back to basics" operational turnaround at Olive Garden and the remaining Darden portfolio that was widely credited, over the following several years, with a substantial improvement in same-restaurant sales and total shareholder return, making Darden one of the most frequently cited examples of a full-board-replacement activist campaign that was followed by clearly positive operating and stock-price outcomes.</w:t>
      </w:r>
    </w:p>
    <w:p w14:paraId="272AD8F0" w14:textId="77777777" w:rsidR="000A2EB2" w:rsidRDefault="00000000">
      <w:pPr>
        <w:pStyle w:val="Heading2"/>
      </w:pPr>
      <w:r>
        <w:t>8.4 Elliott Management vs. AT&amp;T Inc. (2019-2021)</w:t>
      </w:r>
    </w:p>
    <w:p w14:paraId="31D14282" w14:textId="77777777" w:rsidR="000A2EB2" w:rsidRDefault="00000000">
      <w:r>
        <w:t>Facts and timeline. Elliott Management disclosed a stake of approximately $3.2 billion in AT&amp;T in September 2019 and published a detailed public letter arguing that AT&amp;T's aggressive acquisition strategy (notably the 2015 DirecTV acquisition and the 2018 Time Warner acquisition, which had loaded the company with substantial debt) had produced a bloated, unfocused conglomerate trading at a persistent valuation discount to peers, and called for a focused operational review, a moratorium on further large acquisitions, board refresh, and a formal capital-allocation framework prioritizing debt reduction and a returns-focused core telecom strategy over further diversification. Rather than escalating to a proxy contest, Elliott and AT&amp;T reached a cooperation agreement within about a month of Elliott's initial letter (October 2019), under which AT&amp;T's management, led by CEO Randall Stephenson, committed to a formal strategic review, agreed to specific capital-return and leverage targets, and added board members with relevant media and telecom operating experience, without Elliott receiving a dedicated board seat of its own in the initial settlement.</w:t>
      </w:r>
    </w:p>
    <w:p w14:paraId="43F14E77" w14:textId="77777777" w:rsidR="000A2EB2" w:rsidRDefault="00000000">
      <w:r>
        <w:t>Tactics. Elliott's campaign is a leading example of a large but purely economically-motivated (non-board-seeking, in its initial phase) settlement-track campaign, in which a highly detailed and well-substantiated public letter, combined with Elliott's reputation for follow-through on prior campaigns, was sufficient to produce a rapid negotiated settlement without escalation to a public proxy fight — consistent with the Part III observation that the large majority of activist campaigns settle before a vote, and with Gantchev's (2013) cost-based explanation for why negotiated resolution is frequently the lower-cost, mutually preferred outcome for both sides once the activist's thesis is credible enough that the target anticipates likely proxy-advisor support if the matter proceeded to a vote.</w:t>
      </w:r>
    </w:p>
    <w:p w14:paraId="1B5C11E3" w14:textId="77777777" w:rsidR="000A2EB2" w:rsidRDefault="00000000">
      <w:r>
        <w:t>Outcome and analytical takeaway. Following the 2019 settlement, AT&amp;T proceeded over 2020-2021 to divest DirecTV (spinning the video business into a joint venture with TPG Capital in 2021 at a valuation far below what AT&amp;T had originally paid) and, in a much larger transaction announced in May 2021, agreed to spin off and merge WarnerMedia (the former Time Warner assets) with Discovery Inc. to form Warner Bros. Discovery, effectively reversing the core thesis of the 2018 Time Warner acquisition that Elliott's 2019 letter had specifically criticized. While AT&amp;T's management and board consistently maintained that the WarnerMedia spin-off decision reflected the board's own independent strategic judgment about the converging media landscape rather than a direct capitulation to Elliott's demands, the case is widely cited as an example of a settlement-track activist campaign whose thesis was substantially vindicated by subsequent corporate action over a multi-year horizon, illustrating that activist influence can manifest gradually through board and management strategic reassessment well after the formal engagement/settlement period has concluded, rather than only through immediately observable settlement terms.</w:t>
      </w:r>
    </w:p>
    <w:p w14:paraId="468089D3" w14:textId="77777777" w:rsidR="00FC0D99" w:rsidRDefault="00FC0D99">
      <w:pPr>
        <w:pStyle w:val="Heading2"/>
      </w:pPr>
    </w:p>
    <w:p w14:paraId="3626DF19" w14:textId="4153CA31" w:rsidR="000A2EB2" w:rsidRDefault="00000000">
      <w:pPr>
        <w:pStyle w:val="Heading2"/>
      </w:pPr>
      <w:r>
        <w:lastRenderedPageBreak/>
        <w:t>8.5 Elliott Management vs. Twitter Inc. (2020): Board Seat Settlement</w:t>
      </w:r>
    </w:p>
    <w:p w14:paraId="0C498D50" w14:textId="77777777" w:rsidR="000A2EB2" w:rsidRDefault="00000000">
      <w:r>
        <w:t>Facts and timeline. Elliott Management disclosed a stake of just under 4% in Twitter Inc. in late February/early March 2020 and moved unusually quickly to signal it intended to seek the removal of co-founder and CEO Jack Dorsey, citing concerns about Dorsey's divided attention (Dorsey simultaneously served as CEO of both Twitter and the separate public company Square/Block) and Twitter's persistently disappointing user-growth and product-execution track record relative to other large social platforms. Rather than pursuing a public letter-first campaign as in the AT&amp;T case, Elliott moved directly toward preparing a possible board-nomination threat, prompting Twitter's board to negotiate rapidly; within roughly three weeks of Elliott's initial stake disclosure, Twitter announced a settlement (March 2020) under which Elliott (together with the technology-focused private equity firm Silver Lake Partners, which invested $1 billion in Twitter convertible notes as part of the same settlement package) received board representation — Elliott partner Jesse Cohn and Silver Lake co-CEO Egon Durban both joined Twitter's board — while Jack Dorsey retained his position as CEO, with the board committing to a formal management-succession-planning process and additional governance changes, including board declassification.</w:t>
      </w:r>
    </w:p>
    <w:p w14:paraId="7CBEF79F" w14:textId="77777777" w:rsidR="000A2EB2" w:rsidRDefault="00000000">
      <w:r>
        <w:t>Tactics. This campaign is notable for its rapid resolution (roughly three weeks from initial disclosure to settlement) achieved through the credible threat of escalation rather than an actual proxy contest, and for its unusual structure of combining an activist hedge fund (Elliott) with a private equity co-investor (Silver Lake) in a single coordinated settlement package, illustrating a hybrid financing and coalition structure distinct from the pure wolf-pack coordination among multiple hedge funds discussed in Part VII, section 7.3.</w:t>
      </w:r>
    </w:p>
    <w:p w14:paraId="452E8C7E" w14:textId="77777777" w:rsidR="000A2EB2" w:rsidRDefault="00000000">
      <w:r>
        <w:t>Outcome and analytical takeaway. Dorsey ultimately stepped down as Twitter CEO in November 2021 (roughly twenty months after the settlement), being succeeded by Twitter's CTO Parag Agrawal, an outcome consistent with, though not contractually mandated on a fixed timeline by, the succession-planning commitment in the 2020 settlement. Twitter was subsequently acquired by Elon Musk in October 2022 in a separate, unrelated transaction; the Elliott/Silver Lake board seats and the broader governance changes from the 2020 settlement were superseded entirely once Musk's acquisition closed and Twitter was taken private and its board replaced. The case illustrates both the practical effectiveness of a credible, well-financed escalation threat in producing a rapid settlement (avoiding the extended, multi-month timeline of campaigns like Starboard/Darden) and the limits of any activist settlement's durability when a subsequent, unrelated change-of-control transaction intervenes.</w:t>
      </w:r>
    </w:p>
    <w:p w14:paraId="25D08FD2" w14:textId="77777777" w:rsidR="000A2EB2" w:rsidRDefault="00000000">
      <w:pPr>
        <w:pStyle w:val="Heading2"/>
      </w:pPr>
      <w:r>
        <w:t>8.6 Bill Ackman / Pershing Square vs. Herbalife Ltd. (2012-2018): Short-Activism Campaign</w:t>
      </w:r>
    </w:p>
    <w:p w14:paraId="4D2A4128" w14:textId="77777777" w:rsidR="000A2EB2" w:rsidRDefault="00000000">
      <w:r>
        <w:t>Facts and timeline. In December 2012, Bill Ackman's Pershing Square Capital Management publicly disclosed a $1 billion short position against Herbalife Ltd., a multi-level-marketing nutritional-supplement company, and simultaneously delivered a lengthy public presentation (subsequently expanded to over 300 slides across several follow-on presentations) alleging that Herbalife operated as an illegal pyramid scheme that recruited distributors primarily through the promise of recruitment-based income rather than genuine product sales to end consumers, and predicted the stock would fall to zero once regulators intervened. This was fundamentally different in structure from every other case vignette in this Part: rather than accumulating a long equity stake to pressure for governance or capital-allocation change, Ackman's position was a short bet combined with a public, sustained campaign intended to trigger regulatory action and a collapse in the stock price — activism deployed against, rather than on behalf of, the company's own long-</w:t>
      </w:r>
      <w:r>
        <w:lastRenderedPageBreak/>
        <w:t>term equity value. Herbalife, and a rival activist investor, Carl Icahn, took the opposite side of the trade: Icahn disclosed a large long stake in Herbalife in January 2013 and engaged in a highly public, personally acrimonious dispute with Ackman (including a much-replayed televised confrontation on CNBC in January 2013), eventually accumulating a stake exceeding 20% of Herbalife's shares and securing board representation. The Federal Trade Commission opened a formal investigation into Herbalife's business practices in 2014 and reached a settlement with the company in July 2016, requiring Herbalife to restructure its multi-level-marketing compensation model and pay a $200 million settlement, but explicitly did not find that Herbalife operated as a pyramid scheme in the sense Ackman had alleged, a materially weaker regulatory outcome than Ackman's public thesis had predicted.</w:t>
      </w:r>
    </w:p>
    <w:p w14:paraId="69127B83" w14:textId="77777777" w:rsidR="000A2EB2" w:rsidRDefault="00000000">
      <w:r>
        <w:t>Tactics. Ackman's campaign is the leading business-school example of "activist short-selling": using the same public-letter, detailed-presentation, and media-amplification tactics developed for long-side governance activism, but deployed with the object of driving a stock price down (and, in this instance, explicitly seeking to trigger a specific regulatory outcome) rather than up. The multi-year public battle with Icahn additionally illustrates that activists can find themselves opposing one another directly, rather than only opposing incumbent management, when a stock becomes a sufficiently high-profile contested thesis.</w:t>
      </w:r>
    </w:p>
    <w:p w14:paraId="05194495" w14:textId="77777777" w:rsidR="000A2EB2" w:rsidRDefault="00000000">
      <w:r>
        <w:t>Outcome and analytical takeaway. Ackman closed the short position at a substantial loss in early 2018, having held it for over five years against a stock price that, rather than collapsing to zero as predicted, roughly tripled from its 2012 levels over the life of the position (helped in part by Herbalife's own large buyback program, ironically similar in mechanism to the buybacks Ackman had separately championed in long-activist campaigns elsewhere in his career, which shrank the share count and supported the price against sustained short pressure). The case is widely used to illustrate the risks and limits of activist short-selling as a strategy: even a well-resourced, highly public, sustained campaign cannot force a regulatory or business outcome that does not independently materialize, and a target company's own capital-allocation response (large buybacks funded partly by debt) can directly counteract a short-activist thesis over a multi-year horizon in a way that is mechanically unavailable as a defense against a long-activist governance campaign.</w:t>
      </w:r>
    </w:p>
    <w:p w14:paraId="3568C280" w14:textId="77777777" w:rsidR="000A2EB2" w:rsidRDefault="00000000">
      <w:pPr>
        <w:pStyle w:val="Heading2"/>
      </w:pPr>
      <w:r>
        <w:t>8.7 Bill Ackman / Pershing Square vs. Canadian Pacific Railway (2011-2012): Proxy Fight Won</w:t>
      </w:r>
    </w:p>
    <w:p w14:paraId="0EFA6F16" w14:textId="77777777" w:rsidR="000A2EB2" w:rsidRDefault="00000000">
      <w:r>
        <w:t>Facts and timeline. Pershing Square Capital Management disclosed a roughly 12% stake in Canadian Pacific Railway (CP) in October 2011, making Ackman the company's largest shareholder, and immediately began a public campaign criticizing CP's operating ratio (a standard railroad efficiency metric) as the worst among major North American Class I railroads, attributing the underperformance to CEO Fred Green and the incumbent board, and calling for Green's replacement with Hunter Harrison, the former CEO of rival railroad Canadian National, who had a strong reputation for operational turnarounds using "precision scheduled railroading" methods. CP's board initially resisted, and the dispute escalated to a full proxy contest for the company's May 2012 annual meeting, with Pershing Square nominating a slate of five directors (later increased) against the incumbent board.</w:t>
      </w:r>
    </w:p>
    <w:p w14:paraId="38845684" w14:textId="77777777" w:rsidR="000A2EB2" w:rsidRDefault="00000000">
      <w:r>
        <w:t xml:space="preserve">Tactics. Ackman combined the conventional activist toolkit (public letters, a detailed operational benchmarking analysis of CP's efficiency metrics against peer railroads, board nominations) with an unusually specific and personalized leadership thesis — naming a specific outside executive (Harrison) as the intended replacement CEO well before the vote, rather than the more common practice of campaigning on </w:t>
      </w:r>
      <w:r>
        <w:lastRenderedPageBreak/>
        <w:t>general strategic themes without committing to a named management replacement. This made the campaign's success or failure unusually easy for shareholders and proxy advisors to evaluate against a concrete, verifiable operational track record (Harrison's prior results at Canadian National), likely strengthening the campaign's credibility with ISS, Glass Lewis, and institutional shareholders relative to a more abstractly framed strategic thesis.</w:t>
      </w:r>
    </w:p>
    <w:p w14:paraId="47F7D048" w14:textId="77777777" w:rsidR="000A2EB2" w:rsidRDefault="00000000">
      <w:r>
        <w:t>Outcome and analytical takeaway. Facing an increasingly unfavorable predicted vote outcome (with both ISS and Glass Lewis ultimately recommending in favor of a majority of Pershing Square's nominees), CP's board reached a settlement in mid-May 2012, just before the scheduled annual meeting: CEO Fred Green resigned, the board was substantially reconstituted with Pershing Square-nominated directors, and Hunter Harrison was installed as the new CEO exactly as Ackman had proposed. Harrison's subsequent operational turnaround at CP over 2012-2016 was widely regarded as highly successful, with CP's operating ratio improving dramatically and the stock price appreciating several-fold over the following years, making the CP campaign one of the most frequently cited examples of an activist campaign whose specific, named leadership thesis was validated by clearly observable subsequent operating performance — a stronger and more directly attributable outcome than is available in most activist case studies, where the counterfactual (what would have happened absent the campaign) is inherently harder to establish.</w:t>
      </w:r>
    </w:p>
    <w:p w14:paraId="08FE3B31" w14:textId="77777777" w:rsidR="000A2EB2" w:rsidRDefault="00000000">
      <w:pPr>
        <w:pStyle w:val="Heading2"/>
      </w:pPr>
      <w:r>
        <w:t>8.8 Engine No. 1 vs. ExxonMobil Corporation (2020-2021): Three Board Seats on Climate Grounds</w:t>
      </w:r>
    </w:p>
    <w:p w14:paraId="1C3182E5" w14:textId="77777777" w:rsidR="000A2EB2" w:rsidRDefault="00000000">
      <w:r>
        <w:t>Facts and timeline. Engine No. 1, a small activist investment firm founded in late 2020 with roughly $250 million under management and holding an ExxonMobil stake of approximately $40 million (roughly 0.02% of ExxonMobil's shares outstanding, an extraordinarily small stake by the standards of every other case vignette in this Part), publicly announced its campaign in December 2020, arguing that ExxonMobil's board lacked the energy-transition and clean-technology expertise necessary to navigate long-term climate transition risk, that the company's continued heavy capital expenditure on legacy oil and gas projects risked stranding shareholder capital as global energy demand patterns shifted, and that ExxonMobil's total shareholder return had badly lagged both the broader market and diversified energy-sector peers over the preceding decade. Engine No. 1 nominated four director candidates with energy-transition, clean-technology, and industrial-transformation backgrounds for ExxonMobil's twelve-member board, and the contest proceeded to a full proxy vote at ExxonMobil's annual meeting on May 26, 2021 (with the final seat count confirmed shortly after, by early June 2021, once all votes were certified).</w:t>
      </w:r>
    </w:p>
    <w:p w14:paraId="32775898" w14:textId="77777777" w:rsidR="000A2EB2" w:rsidRDefault="00000000">
      <w:r>
        <w:t xml:space="preserve">Tactics. The single most theoretically important feature of this campaign, discussed in Part VII, section 7.8 above, is the near-total decoupling between Engine No. 1's own economic stake (approximately 0.02% of ExxonMobil) and its ultimate voting influence, which instead depended entirely on persuading ExxonMobil's very large passive index-fund shareholders — BlackRock, Vanguard, and State Street Global Advisors, holding an aggregate stake of roughly 21% of ExxonMobil's voting shares — that supporting Engine No. 1's nominees was in the index funds' own long-run, diversified, systemic-risk-adjusted financial interest, given that all three managers have publicly stated stewardship policies emphasizing climate transition risk oversight across their full portfolios. This is a fundamentally different activism mechanism from every prior case in this Part: rather than concentrating a large stake to solve the Grossman &amp; Hart (1980) free-rider problem directly (as described in Part VII, section 7.1), Engine No. 1 instead won by persuading the </w:t>
      </w:r>
      <w:r>
        <w:lastRenderedPageBreak/>
        <w:t>shareholders who already held the largest stakes, purely as a structural function of index replication, to redeploy their existing voting power in favor of the dissident thesis.</w:t>
      </w:r>
    </w:p>
    <w:p w14:paraId="278E8B0C" w14:textId="77777777" w:rsidR="000A2EB2" w:rsidRDefault="00000000">
      <w:r>
        <w:t>Outcome and analytical takeaway. ExxonMobil shareholders elected three of Engine No. 1's four nominees to the board (a fourth nominee narrowly failed to secure election), marking the first time in ExxonMobil's history that an activist investor won board seats, and the first proxy contest in which a company board election turned substantially on climate-transition and ESG considerations rather than conventional capital-allocation or operational metrics. The case is the canonical example of the ESG-linked activism archetype discussed in Part VII, section 7.8, and is widely used to illustrate both the growing willingness of large index managers to exercise their stewardship voting power actively rather than defer reflexively to incumbent management, and the continued theoretical tension (per Kahan &amp; Rock, 2007) over whether campaigns framed around long-run climate transition risk represent a genuine refinement of long-run shareholder-value maximization or a partially distinct objective that happens, in this instance, to have secured majority shareholder support.</w:t>
      </w:r>
    </w:p>
    <w:p w14:paraId="22791E4F" w14:textId="77777777" w:rsidR="000A2EB2" w:rsidRDefault="00000000">
      <w:pPr>
        <w:pStyle w:val="Heading2"/>
      </w:pPr>
      <w:r>
        <w:t>8.9 Trian Partners / Nelson Peltz vs. Procter &amp; Gamble (2017): The Closest Contested Vote in History</w:t>
      </w:r>
    </w:p>
    <w:p w14:paraId="1B8C731A" w14:textId="77777777" w:rsidR="000A2EB2" w:rsidRDefault="00000000">
      <w:r>
        <w:t>Facts and timeline. Nelson Peltz's Trian Fund Management disclosed a stake of approximately $3.3 billion (roughly 1.5%) in Procter &amp; Gamble in early 2017 and sought a single board seat for Peltz himself, arguing that P&amp;G's sprawling brand portfolio, bureaucratic organizational structure, and sluggish sales growth relative to more focused consumer-products peers (particularly smaller, more nimble rivals gaining market share in several of P&amp;G's core categories) warranted a fundamental operating-model overhaul, including a simplified organizational structure, faster decision-making, and a sharper focus on innovation and cost discipline. P&amp;G's board rejected Trian's nomination, leading to a full proxy contest decided at P&amp;G's October 2017 annual meeting — remarkable given P&amp;G's status as one of the largest companies ever to face a full activist proxy vote, with a market capitalization at the time exceeding $220 billion.</w:t>
      </w:r>
    </w:p>
    <w:p w14:paraId="76285AF9" w14:textId="77777777" w:rsidR="000A2EB2" w:rsidRDefault="00000000">
      <w:r>
        <w:t>Tactics. Given P&amp;G's enormous size and correspondingly enormous, highly diversified shareholder base (with a very large proportion of shares held by long-term index funds and retail shareholders inherited through decades of dividend reinvestment and employee stock ownership, a shareholder composition quite different from a mid-cap company with a more concentrated institutional base), the campaign turned heavily on winning over both the "Big Three" index managers and P&amp;G's unusually large individual/retail shareholder base, requiring an intensive multi-month solicitation and media campaign on both sides.</w:t>
      </w:r>
    </w:p>
    <w:p w14:paraId="0536FAF2" w14:textId="77777777" w:rsidR="000A2EB2" w:rsidRDefault="00000000">
      <w:r>
        <w:t xml:space="preserve">Outcome and analytical takeaway. The initial vote count, announced shortly after the October 2017 annual meeting, was recorded as a narrow defeat for Trian, but after a contested recount process (both sides disputed vote-counting irregularities, an unusually contentious feature for a large-cap proxy contest), P&amp;G and Trian reached an agreement in December 2017 to seat Peltz on the board, with the final, certified vote margin reported as one of the closest contested director elections in the history of large-cap U.S. proxy contests (a margin under 1% of shares voted, out of roughly $10 billion worth of P&amp;G stock outstanding, according to contemporaneous press coverage of the certified count). The case is frequently cited to illustrate both the scale to which activist campaigns had grown by the late 2010s (successfully contesting a board seat at one of the largest, most widely-held companies in the U.S. market) and the practical reality that even a razor-thin vote margin produces the same governance outcome (a board seat) as a landslide, </w:t>
      </w:r>
      <w:r>
        <w:lastRenderedPageBreak/>
        <w:t>underscoring why both incumbent boards and activists devote such disproportionate resources to the final stages of a closely contested campaign.</w:t>
      </w:r>
    </w:p>
    <w:p w14:paraId="2945CC63" w14:textId="77777777" w:rsidR="000A2EB2" w:rsidRDefault="00000000">
      <w:pPr>
        <w:pStyle w:val="Heading2"/>
      </w:pPr>
      <w:r>
        <w:t>8.10 Trian Partners / Nelson Peltz vs. The Walt Disney Company (2023-2024)</w:t>
      </w:r>
    </w:p>
    <w:p w14:paraId="75BECDD3" w14:textId="77777777" w:rsidR="000A2EB2" w:rsidRDefault="00000000">
      <w:r>
        <w:t>Facts and timeline. Nelson Peltz's Trian Fund Management first disclosed an interest in The Walt Disney Company in late 2022, initially building a stake and seeking board representation on the basis of concerns over Disney's succession planning, cost discipline (particularly at the Disney+ streaming division, which was incurring large operating losses), and capital allocation, including criticism of the price Disney had paid for its 21st Century Fox acquisition. Disney's board rebuffed Trian's initial approach, but the dispute was paused in early 2023 after Disney reinstated Bob Iger as CEO (Iger having returned from retirement to replace Bob Chapek) and Iger announced a large cost-cutting program; Trian withdrew its initial board challenge in February 2023 on the basis that Iger's plan was substantially aligned with Trian's own thesis. Trian re-escalated the campaign in late 2023, rebuilding a larger stake (reportedly approaching $3 billion, in coalition with fellow activist Blackwells Capital and, separately, with support voiced by former Disney CFO and board member Jay Rasulo) and nominating Peltz and former Disney executive Jay Rasulo for board seats ahead of Disney's April 2024 annual meeting, again citing streaming losses, succession-planning uncertainty, and total shareholder return underperformance relative to peers and the broader market over the preceding several years.</w:t>
      </w:r>
    </w:p>
    <w:p w14:paraId="33EB0C04" w14:textId="77777777" w:rsidR="000A2EB2" w:rsidRDefault="00000000">
      <w:r>
        <w:t>Tactics. Disney mounted an unusually aggressive and well-resourced defense, including a large-scale investor-outreach and media campaign, recruiting additional board members with entertainment- and media-sector credibility (including former Morgan Stanley CEO James Gorman and Sky/NBCUniversal executive Jeremy Darroch) ahead of the vote specifically to strengthen the incumbent slate's credibility with ISS, Glass Lewis, and institutional shareholders, and securing endorsements from major shareholders and industry figures (including, notably, public support from major Disney shareholders and, separately, expressions of confidence from prominent business figures) that Disney's public relations campaign highlighted prominently in the weeks before the vote.</w:t>
      </w:r>
    </w:p>
    <w:p w14:paraId="5B38D2BD" w14:textId="77777777" w:rsidR="000A2EB2" w:rsidRDefault="00000000">
      <w:r>
        <w:t>Outcome and analytical takeaway. At Disney's April 2024 annual meeting, shareholders decisively rejected both Trian's and Blackwells' board nominees, re-electing Disney's full incumbent slate — a comprehensive defeat for Trian, in contrast to the narrow but successful outcome of Trian's earlier P&amp;G campaign (case 8.9 above). Trian subsequently exited its Disney position within months of the failed vote. The case is frequently contrasted directly with the P&amp;G outcome to illustrate that activist campaign success depends heavily on the credibility of the incumbent board's own responsiveness narrative — Disney's ability to point to Iger's already-underway cost-cutting program and streaming-profitability roadmap, freshly reinforced board appointments, and a specific, dated path to Disney+ profitability gave both proxy advisors and institutional shareholders a concrete basis to conclude that the incumbent board and management team were already executing on substantially the same thesis Trian was proposing, undercutting the marginal value of adding Trian's own nominees — a dynamic quite different from the P&amp;G case, where P&amp;G's board had offered no comparably credible pre-vote responsiveness narrative before the vote was held.</w:t>
      </w:r>
    </w:p>
    <w:p w14:paraId="2DF97BF8" w14:textId="77777777" w:rsidR="000A2EB2" w:rsidRDefault="00000000">
      <w:r>
        <w:br w:type="page"/>
      </w:r>
    </w:p>
    <w:p w14:paraId="5715B4BB" w14:textId="77777777" w:rsidR="000A2EB2" w:rsidRDefault="00000000">
      <w:pPr>
        <w:pStyle w:val="Heading1"/>
      </w:pPr>
      <w:r>
        <w:lastRenderedPageBreak/>
        <w:t>Part IX -- Activism-Resistance of Family-Controlled Conglomerates</w:t>
      </w:r>
    </w:p>
    <w:p w14:paraId="76C34964" w14:textId="77777777" w:rsidR="000A2EB2" w:rsidRDefault="00000000">
      <w:r>
        <w:t>Part VI already applied the free-rider and concentrated-ownership logic to Koç Holding, Sabancı Holding, and Türk Hava Yolları specifically. This Part IX generalizes that analysis into a full comparative-corporate-governance treatment of why concentrated family and pyramidal ownership structures, common not only in Turkey but across continental Europe and East Asia, are structurally resistant to the Western (principally U.S. and U.K.) hedge-fund-activism playbook documented throughout Parts I-III and VII-VIII, and draws on the foundational comparative-ownership literature -- La Porta, Lopez-de-Silanes, Shleifer &amp; Vishny (1999) and Claessens, Djankov &amp; Lang (2000) -- that the earlier Part VI discussion referenced only in passing.</w:t>
      </w:r>
    </w:p>
    <w:p w14:paraId="3CE36AE7" w14:textId="77777777" w:rsidR="000A2EB2" w:rsidRDefault="00000000">
      <w:pPr>
        <w:jc w:val="center"/>
      </w:pPr>
      <w:r>
        <w:rPr>
          <w:noProof/>
        </w:rPr>
        <w:drawing>
          <wp:inline distT="0" distB="0" distL="0" distR="0" wp14:anchorId="0C6E4260" wp14:editId="7CF51B5D">
            <wp:extent cx="5486400" cy="237231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ownership.png"/>
                    <pic:cNvPicPr/>
                  </pic:nvPicPr>
                  <pic:blipFill>
                    <a:blip r:embed="rId7"/>
                    <a:stretch>
                      <a:fillRect/>
                    </a:stretch>
                  </pic:blipFill>
                  <pic:spPr>
                    <a:xfrm>
                      <a:off x="0" y="0"/>
                      <a:ext cx="5486400" cy="2372312"/>
                    </a:xfrm>
                    <a:prstGeom prst="rect">
                      <a:avLst/>
                    </a:prstGeom>
                  </pic:spPr>
                </pic:pic>
              </a:graphicData>
            </a:graphic>
          </wp:inline>
        </w:drawing>
      </w:r>
    </w:p>
    <w:p w14:paraId="7B88F735" w14:textId="77777777" w:rsidR="000A2EB2" w:rsidRDefault="00000000">
      <w:pPr>
        <w:jc w:val="center"/>
      </w:pPr>
      <w:r>
        <w:rPr>
          <w:i/>
          <w:sz w:val="19"/>
        </w:rPr>
        <w:t>Figure B. Ownership concentration: Koc Holding, Sabanci Holding, and Turkish Airlines (THY) compared with a typical dispersed-ownership U.S. firm. The concentrated family/foundation and state stakes at the three running-case companies are the structural reason Western-style proxy contests rarely reach a vote against them.</w:t>
      </w:r>
    </w:p>
    <w:p w14:paraId="50809D8B" w14:textId="77777777" w:rsidR="000A2EB2" w:rsidRDefault="00000000">
      <w:pPr>
        <w:pStyle w:val="Heading2"/>
      </w:pPr>
      <w:r>
        <w:t>9.1 La Porta, Lopez-de-Silanes, Shleifer &amp; Vishny (1999): Corporate Ownership Around the World</w:t>
      </w:r>
    </w:p>
    <w:p w14:paraId="7128CFE9" w14:textId="77777777" w:rsidR="000A2EB2" w:rsidRDefault="00000000">
      <w:r>
        <w:t>La Porta, Lopez-de-Silanes, Shleifer and Vishny's 1999 Journal of Finance article, "Corporate Ownership Around the World," overturned a basic textbook assumption: that the dispersed-ownership public company is the global norm. Studying the largest firms in 27 wealthy economies, they found that outside the U.S. and U.K., most large firms are controlled by a single dominant shareholder -- usually a family, sometimes the state -- not widely held at all.</w:t>
      </w:r>
    </w:p>
    <w:p w14:paraId="45BD057F" w14:textId="77777777" w:rsidR="000A2EB2" w:rsidRDefault="00000000">
      <w:r>
        <w:t>That controlling shareholder typically holds voting power well above its economic (cash-flow) stake, through two mechanisms: dual-class shares, where one class carries extra votes per share (exactly the Koc Holding structure documented in Part VI, section 6.1), and pyramids, where a family owns a holding company that controls an intermediate company that controls the operating company. Because control at each layer needs only a majority, not full ownership, a family can end up controlling a company with a cash-flow stake well under 10% at the base of a long enough pyramid.</w:t>
      </w:r>
    </w:p>
    <w:p w14:paraId="7F88A9AE" w14:textId="77777777" w:rsidR="000A2EB2" w:rsidRDefault="00000000">
      <w:r>
        <w:t xml:space="preserve">La Porta et al.'s deeper point is that this concentration correlates with weak legal protection for minority shareholders: where the law does not credibly protect minority investors from expropriation, a family cannot easily raise dispersed outside capital, so concentrated ownership persists as a private substitute for weak legal protection. This reframes the whole Grossman &amp; Hart (1980) free-rider story: hedge fund </w:t>
      </w:r>
      <w:r>
        <w:lastRenderedPageBreak/>
        <w:t>activism is a solution calibrated to the strong-protection, dispersed-ownership environment of the U.S. and U.K. -- which, per La Porta et al., is the global exception, not the rule.</w:t>
      </w:r>
    </w:p>
    <w:p w14:paraId="38E28288" w14:textId="77777777" w:rsidR="000A2EB2" w:rsidRDefault="00000000">
      <w:pPr>
        <w:pStyle w:val="Heading2"/>
      </w:pPr>
      <w:r>
        <w:t>9.2 Claessens, Djankov &amp; Lang (2000): Separation of Ownership and Control in East Asia</w:t>
      </w:r>
    </w:p>
    <w:p w14:paraId="64B65ADE" w14:textId="77777777" w:rsidR="000A2EB2" w:rsidRDefault="00000000">
      <w:r>
        <w:t>Claessens, Djankov and Lang's 2000 article, "The Separation of Ownership and Control in East Asian Corporations," extends La Porta et al.'s (1999) global framework with a detailed study of 2,980 listed firms across nine East Asian economies: Hong Kong, Indonesia, Japan, South Korea, Malaysia, the Philippines, Singapore, Taiwan, and Thailand. More than two-thirds of these firms are controlled by a single shareholder, and pyramids and cross-shareholdings -- not dual-class shares, which are rarer in the region -- are the dominant mechanism separating control from cash-flow ownership: a family often controls dozens of nominally separate, cross-listed companies through a web of holding relationships.</w:t>
      </w:r>
    </w:p>
    <w:p w14:paraId="42C8F115" w14:textId="77777777" w:rsidR="000A2EB2" w:rsidRDefault="00000000">
      <w:r>
        <w:t>Their most important finding for this course is that the gap between control rights and cash-flow rights predicts firm valuation: firms where a family's voting control substantially exceeds its economic stake trade at a systematic discount, because the market prices in the risk that a controlling family with outsized voting power relative to its own capital at risk will extract private benefits -- self-dealing related-party deals, favorable transfer pricing between pyramid affiliates, excessive pay for family executives -- at minority shareholders' expense.</w:t>
      </w:r>
    </w:p>
    <w:p w14:paraId="31D584D4" w14:textId="77777777" w:rsidR="000A2EB2" w:rsidRDefault="00000000">
      <w:r>
        <w:t>This is the East Asian mirror of the Koc Holding dual-class analysis in Part VI, section 6.1: whichever mechanism produces the gap, dual-class shares or pyramids, minority shareholders bear a valuation cost for the expropriation risk it creates, and no conventional hedge fund campaign of the Parts I-III/VIII type can close that structural voting-control gap, however strong the activist's operating thesis.</w:t>
      </w:r>
    </w:p>
    <w:p w14:paraId="67557674" w14:textId="77777777" w:rsidR="000A2EB2" w:rsidRDefault="00000000">
      <w:pPr>
        <w:pStyle w:val="Heading2"/>
      </w:pPr>
      <w:r>
        <w:t>9.3 Why the Western Activism Playbook Does Not Transfer</w:t>
      </w:r>
    </w:p>
    <w:p w14:paraId="54AE3E3E" w14:textId="77777777" w:rsidR="000A2EB2" w:rsidRDefault="00000000">
      <w:r>
        <w:t>Combining La Porta et al.'s (1999) global finding with Claessens, Djankov &amp; Lang's (2000) East Asian detail, and the Koc Holding, Sabanci Holding, and THY analysis in Part VI, section 6, three structural features explain why the Western activism playbook (Parts I-III, VII, VIII) has essentially no purchase against a family- or state-controlled conglomerate like Koc or Sabanci.</w:t>
      </w:r>
    </w:p>
    <w:p w14:paraId="3B96C543" w14:textId="77777777" w:rsidR="000A2EB2" w:rsidRDefault="00000000">
      <w:r>
        <w:t>First, the free-rider problem Grossman &amp; Hart (1980) use to justify concentrated-stake activism simply does not exist in the same form once a single family or state already holds a controlling stake: that controller already captures most of the upside from better capital allocation, and already has the unilateral voting power to force change without needing an outside activist to solve any coordination problem.</w:t>
      </w:r>
    </w:p>
    <w:p w14:paraId="221A7508" w14:textId="77777777" w:rsidR="000A2EB2" w:rsidRDefault="00000000">
      <w:r>
        <w:t>Second, where control runs through a voting-to-cash-flow wedge -- dual-class shares at Koc Holding, or the pyramids and cross-shareholdings Claessens, Djankov &amp; Lang document across East Asia -- an activist buying up the entire free float still cannot assemble a voting majority. A board-seat contest of the Starboard/Darden (8.3) or Engine No. 1/ExxonMobil (8.8) type becomes mathematically impossible, no matter how compelling the activist's thesis or how favorable ISS and Glass Lewis are.</w:t>
      </w:r>
    </w:p>
    <w:p w14:paraId="6C0877A4" w14:textId="77777777" w:rsidR="000A2EB2" w:rsidRDefault="00000000">
      <w:r>
        <w:t xml:space="preserve">Third, the defense toolkit in Part IV and Part VII (poison pills, staggered boards, advance notice bylaws) exists to slow down activists within a dispersed-ownership setting where intervention is otherwise possible. Family- and state-controlled conglomerates typically do not need any of these devices, because the ownership structure resolves the vulnerability at its root. That is a fundamentally more durable form of </w:t>
      </w:r>
      <w:r>
        <w:lastRenderedPageBreak/>
        <w:t>activism-resistance than any procedural defense: as Bebchuk, Coates &amp; Subramanian (2002) and Malatesta &amp; Walkling (1988) both show, procedural defenses only raise the cost and time horizon of a contest, while a genuine voting-control wedge rules the contest out entirely.</w:t>
      </w:r>
    </w:p>
    <w:p w14:paraId="1BE2B036" w14:textId="77777777" w:rsidR="000A2EB2" w:rsidRDefault="00000000">
      <w:pPr>
        <w:pStyle w:val="Heading2"/>
      </w:pPr>
      <w:r>
        <w:t>9.4 Remaining Channels of Pressure: Minority-Shareholder and ESG-Reputational Leverage</w:t>
      </w:r>
    </w:p>
    <w:p w14:paraId="628ED52B" w14:textId="77777777" w:rsidR="000A2EB2" w:rsidRDefault="00000000">
      <w:r>
        <w:t>Concentrated ownership does not make Koc Holding, Sabanci Holding, or THY completely immune to shareholder pressure -- it changes which channels are available, and each operates at a much lower intensity than the board-seat contests and proxy fights that define Parts I-III and VIII.</w:t>
      </w:r>
    </w:p>
    <w:p w14:paraId="1C94AC63" w14:textId="77777777" w:rsidR="000A2EB2" w:rsidRDefault="00000000">
      <w:r>
        <w:t>Four channels remain realistic. First, votes that do not require a board-control majority still matter: say-on-pay votes where applicable, related-party-transaction approvals, and ESG shareholder proposals. Where local rules require a related-party deal to be approved by a majority of the minority (disinterested) shareholders, that gives minority holders a genuine, if narrow, veto -- and even a purely advisory vote carries reputational cost for a controlling family that cares about its public standing.</w:t>
      </w:r>
    </w:p>
    <w:p w14:paraId="0EA61CAC" w14:textId="77777777" w:rsidR="000A2EB2" w:rsidRDefault="00000000">
      <w:r>
        <w:t>Second, foreign free-float ownership creates reputational pressure of its own. Koc Holding's free float in 2024 was roughly 60% foreign-held, well above the ~38% BIST average (Part VI, section 6.4). Many of those foreign holders -- European pension funds and asset managers in particular -- face their own stewardship-code obligations and will engage publicly even with no realistic path to a board seat.</w:t>
      </w:r>
    </w:p>
    <w:p w14:paraId="15A6A9A2" w14:textId="77777777" w:rsidR="000A2EB2" w:rsidRDefault="00000000">
      <w:r>
        <w:t>Third, credit markets discipline independently of any vote. Koc Holding's listed subsidiaries and THY both rely on international bond financing, which means rating agencies and bond investors are continuously assessing governance quality and related-party risk as part of ordinary credit analysis -- a channel that runs through the cost of capital, not the ballot box.</w:t>
      </w:r>
    </w:p>
    <w:p w14:paraId="35C679B4" w14:textId="77777777" w:rsidR="000A2EB2" w:rsidRDefault="00000000">
      <w:r>
        <w:t>Fourth, and specific to THY as a partially state-owned flag carrier, pressure can come through aviation-sector coalitions, environmental NGOs, and Star Alliance codeshare partners whose own stakeholders push for climate and governance commitments as a condition of commercial cooperation -- a mechanism closer to the Engine No. 1/ExxonMobil case (8.8) than to a conventional proxy fight.</w:t>
      </w:r>
    </w:p>
    <w:p w14:paraId="1A37BDAB" w14:textId="77777777" w:rsidR="000A2EB2" w:rsidRDefault="00000000">
      <w:r>
        <w:t>None of these four channels can force a change of control or override a controlling family's or the state's considered decision the way U.S. and U.K. case vignettes in Part VIII show is possible there. That is the central lesson of this Part: at Koc, Sabanci, and THY, activism-resistance is structural, built into the ownership design itself, not a set of tactical defenses layered on top of a vulnerable structure.</w:t>
      </w:r>
    </w:p>
    <w:p w14:paraId="67740357" w14:textId="77777777" w:rsidR="000A2EB2" w:rsidRDefault="00000000">
      <w:r>
        <w:br w:type="page"/>
      </w:r>
    </w:p>
    <w:p w14:paraId="68B0FF9D" w14:textId="77777777" w:rsidR="000A2EB2" w:rsidRDefault="00000000">
      <w:pPr>
        <w:pStyle w:val="Heading2"/>
      </w:pPr>
      <w:r>
        <w:lastRenderedPageBreak/>
        <w:t>9.5 Ownership and Governance Structures Compared: Koc, Sabanci, and THY</w:t>
      </w:r>
    </w:p>
    <w:p w14:paraId="694B1029" w14:textId="77777777" w:rsidR="000A2EB2" w:rsidRDefault="00000000">
      <w:r>
        <w:t>Table 9.5 lines up the three running-case companies side by side on the governance features that matter most for activism vulnerability: controlling-shareholder identity, free-float size, board structure, and dual-class or golden-share provisions.</w:t>
      </w:r>
    </w:p>
    <w:tbl>
      <w:tblPr>
        <w:tblW w:w="9720" w:type="dxa"/>
        <w:tblLayout w:type="fixed"/>
        <w:tblCellMar>
          <w:left w:w="10" w:type="dxa"/>
          <w:right w:w="10" w:type="dxa"/>
        </w:tblCellMar>
        <w:tblLook w:val="04A0" w:firstRow="1" w:lastRow="0" w:firstColumn="1" w:lastColumn="0" w:noHBand="0" w:noVBand="1"/>
      </w:tblPr>
      <w:tblGrid>
        <w:gridCol w:w="2430"/>
        <w:gridCol w:w="2430"/>
        <w:gridCol w:w="2430"/>
        <w:gridCol w:w="2430"/>
      </w:tblGrid>
      <w:tr w:rsidR="000A2EB2" w14:paraId="40B051ED" w14:textId="77777777">
        <w:tblPrEx>
          <w:tblCellMar>
            <w:top w:w="0" w:type="dxa"/>
            <w:bottom w:w="0" w:type="dxa"/>
          </w:tblCellMar>
        </w:tblPrEx>
        <w:tc>
          <w:tcPr>
            <w:tcW w:w="2430" w:type="dxa"/>
            <w:shd w:val="clear" w:color="auto" w:fill="DCE6F1"/>
          </w:tcPr>
          <w:p w14:paraId="7FB7E4D5" w14:textId="77777777" w:rsidR="000A2EB2" w:rsidRDefault="00000000">
            <w:r>
              <w:rPr>
                <w:b/>
              </w:rPr>
              <w:t>Feature</w:t>
            </w:r>
          </w:p>
        </w:tc>
        <w:tc>
          <w:tcPr>
            <w:tcW w:w="2430" w:type="dxa"/>
            <w:shd w:val="clear" w:color="auto" w:fill="DCE6F1"/>
          </w:tcPr>
          <w:p w14:paraId="4CD2CDD1" w14:textId="77777777" w:rsidR="000A2EB2" w:rsidRDefault="00000000">
            <w:r>
              <w:rPr>
                <w:b/>
              </w:rPr>
              <w:t>Koc Holding</w:t>
            </w:r>
          </w:p>
        </w:tc>
        <w:tc>
          <w:tcPr>
            <w:tcW w:w="2430" w:type="dxa"/>
            <w:shd w:val="clear" w:color="auto" w:fill="DCE6F1"/>
          </w:tcPr>
          <w:p w14:paraId="4E2EB04E" w14:textId="77777777" w:rsidR="000A2EB2" w:rsidRDefault="00000000">
            <w:r>
              <w:rPr>
                <w:b/>
              </w:rPr>
              <w:t>Sabanci Holding</w:t>
            </w:r>
          </w:p>
        </w:tc>
        <w:tc>
          <w:tcPr>
            <w:tcW w:w="2430" w:type="dxa"/>
            <w:shd w:val="clear" w:color="auto" w:fill="DCE6F1"/>
          </w:tcPr>
          <w:p w14:paraId="702E70F5" w14:textId="77777777" w:rsidR="000A2EB2" w:rsidRDefault="00000000">
            <w:r>
              <w:rPr>
                <w:b/>
              </w:rPr>
              <w:t>Turkish Airlines (THY)</w:t>
            </w:r>
          </w:p>
        </w:tc>
      </w:tr>
      <w:tr w:rsidR="000A2EB2" w14:paraId="1CAB0B03" w14:textId="77777777">
        <w:tblPrEx>
          <w:tblCellMar>
            <w:top w:w="0" w:type="dxa"/>
            <w:bottom w:w="0" w:type="dxa"/>
          </w:tblCellMar>
        </w:tblPrEx>
        <w:tc>
          <w:tcPr>
            <w:tcW w:w="2430" w:type="dxa"/>
          </w:tcPr>
          <w:p w14:paraId="4743D2BB" w14:textId="77777777" w:rsidR="000A2EB2" w:rsidRDefault="00000000">
            <w:r>
              <w:t>Controlling shareholder</w:t>
            </w:r>
          </w:p>
        </w:tc>
        <w:tc>
          <w:tcPr>
            <w:tcW w:w="2430" w:type="dxa"/>
          </w:tcPr>
          <w:p w14:paraId="0FF81D6A" w14:textId="77777777" w:rsidR="000A2EB2" w:rsidRDefault="00000000">
            <w:r>
              <w:t>Koc family and Vehbi Koc Foundation (~58% combined)</w:t>
            </w:r>
          </w:p>
        </w:tc>
        <w:tc>
          <w:tcPr>
            <w:tcW w:w="2430" w:type="dxa"/>
          </w:tcPr>
          <w:p w14:paraId="3C8D17F1" w14:textId="77777777" w:rsidR="000A2EB2" w:rsidRDefault="00000000">
            <w:r>
              <w:t>Sabanci family and Haci Omer Sabanci Foundation (~51%)</w:t>
            </w:r>
          </w:p>
        </w:tc>
        <w:tc>
          <w:tcPr>
            <w:tcW w:w="2430" w:type="dxa"/>
          </w:tcPr>
          <w:p w14:paraId="0BDC4761" w14:textId="77777777" w:rsidR="000A2EB2" w:rsidRDefault="00000000">
            <w:r>
              <w:t>Turkey Wealth Fund, the state investment vehicle (~49%)</w:t>
            </w:r>
          </w:p>
        </w:tc>
      </w:tr>
      <w:tr w:rsidR="000A2EB2" w14:paraId="2851FD4F" w14:textId="77777777">
        <w:tblPrEx>
          <w:tblCellMar>
            <w:top w:w="0" w:type="dxa"/>
            <w:bottom w:w="0" w:type="dxa"/>
          </w:tblCellMar>
        </w:tblPrEx>
        <w:tc>
          <w:tcPr>
            <w:tcW w:w="2430" w:type="dxa"/>
            <w:shd w:val="clear" w:color="auto" w:fill="F2F2F2"/>
          </w:tcPr>
          <w:p w14:paraId="68D24376" w14:textId="77777777" w:rsidR="000A2EB2" w:rsidRDefault="00000000">
            <w:r>
              <w:t>Free float</w:t>
            </w:r>
          </w:p>
        </w:tc>
        <w:tc>
          <w:tcPr>
            <w:tcW w:w="2430" w:type="dxa"/>
            <w:shd w:val="clear" w:color="auto" w:fill="F2F2F2"/>
          </w:tcPr>
          <w:p w14:paraId="6572E9BF" w14:textId="77777777" w:rsidR="000A2EB2" w:rsidRDefault="00000000">
            <w:r>
              <w:t>~42%, mostly local and foreign institutions</w:t>
            </w:r>
          </w:p>
        </w:tc>
        <w:tc>
          <w:tcPr>
            <w:tcW w:w="2430" w:type="dxa"/>
            <w:shd w:val="clear" w:color="auto" w:fill="F2F2F2"/>
          </w:tcPr>
          <w:p w14:paraId="047E231A" w14:textId="77777777" w:rsidR="000A2EB2" w:rsidRDefault="00000000">
            <w:r>
              <w:t>~49%, similar institutional base</w:t>
            </w:r>
          </w:p>
        </w:tc>
        <w:tc>
          <w:tcPr>
            <w:tcW w:w="2430" w:type="dxa"/>
            <w:shd w:val="clear" w:color="auto" w:fill="F2F2F2"/>
          </w:tcPr>
          <w:p w14:paraId="76154055" w14:textId="77777777" w:rsidR="000A2EB2" w:rsidRDefault="00000000">
            <w:r>
              <w:t>~51%, but voting power skewed toward the state stake</w:t>
            </w:r>
          </w:p>
        </w:tc>
      </w:tr>
      <w:tr w:rsidR="000A2EB2" w14:paraId="0365F8B0" w14:textId="77777777">
        <w:tblPrEx>
          <w:tblCellMar>
            <w:top w:w="0" w:type="dxa"/>
            <w:bottom w:w="0" w:type="dxa"/>
          </w:tblCellMar>
        </w:tblPrEx>
        <w:tc>
          <w:tcPr>
            <w:tcW w:w="2430" w:type="dxa"/>
          </w:tcPr>
          <w:p w14:paraId="6C6F800F" w14:textId="77777777" w:rsidR="000A2EB2" w:rsidRDefault="00000000">
            <w:r>
              <w:t>Board structure</w:t>
            </w:r>
          </w:p>
        </w:tc>
        <w:tc>
          <w:tcPr>
            <w:tcW w:w="2430" w:type="dxa"/>
          </w:tcPr>
          <w:p w14:paraId="0C90C0C7" w14:textId="77777777" w:rsidR="000A2EB2" w:rsidRDefault="00000000">
            <w:r>
              <w:t>Family members hold board chair and key seats</w:t>
            </w:r>
          </w:p>
        </w:tc>
        <w:tc>
          <w:tcPr>
            <w:tcW w:w="2430" w:type="dxa"/>
          </w:tcPr>
          <w:p w14:paraId="2840598D" w14:textId="77777777" w:rsidR="000A2EB2" w:rsidRDefault="00000000">
            <w:r>
              <w:t>Family members hold board chair and key seats</w:t>
            </w:r>
          </w:p>
        </w:tc>
        <w:tc>
          <w:tcPr>
            <w:tcW w:w="2430" w:type="dxa"/>
          </w:tcPr>
          <w:p w14:paraId="47B84619" w14:textId="77777777" w:rsidR="000A2EB2" w:rsidRDefault="00000000">
            <w:r>
              <w:t>State appoints chair and majority of independent-designated seats</w:t>
            </w:r>
          </w:p>
        </w:tc>
      </w:tr>
      <w:tr w:rsidR="000A2EB2" w14:paraId="42AE6F4E" w14:textId="77777777">
        <w:tblPrEx>
          <w:tblCellMar>
            <w:top w:w="0" w:type="dxa"/>
            <w:bottom w:w="0" w:type="dxa"/>
          </w:tblCellMar>
        </w:tblPrEx>
        <w:tc>
          <w:tcPr>
            <w:tcW w:w="2430" w:type="dxa"/>
            <w:shd w:val="clear" w:color="auto" w:fill="F2F2F2"/>
          </w:tcPr>
          <w:p w14:paraId="7A0235FA" w14:textId="77777777" w:rsidR="000A2EB2" w:rsidRDefault="00000000">
            <w:r>
              <w:t>Practical implication for activists</w:t>
            </w:r>
          </w:p>
        </w:tc>
        <w:tc>
          <w:tcPr>
            <w:tcW w:w="2430" w:type="dxa"/>
            <w:shd w:val="clear" w:color="auto" w:fill="F2F2F2"/>
          </w:tcPr>
          <w:p w14:paraId="41DDA0F2" w14:textId="77777777" w:rsidR="000A2EB2" w:rsidRDefault="00000000">
            <w:r>
              <w:t>A hostile proxy fight cannot mathematically win a board majority</w:t>
            </w:r>
          </w:p>
        </w:tc>
        <w:tc>
          <w:tcPr>
            <w:tcW w:w="2430" w:type="dxa"/>
            <w:shd w:val="clear" w:color="auto" w:fill="F2F2F2"/>
          </w:tcPr>
          <w:p w14:paraId="6E7437C2" w14:textId="77777777" w:rsidR="000A2EB2" w:rsidRDefault="00000000">
            <w:r>
              <w:t>Same constraint; minority pressure works only through reputational and ESG channels</w:t>
            </w:r>
          </w:p>
        </w:tc>
        <w:tc>
          <w:tcPr>
            <w:tcW w:w="2430" w:type="dxa"/>
            <w:shd w:val="clear" w:color="auto" w:fill="F2F2F2"/>
          </w:tcPr>
          <w:p w14:paraId="7B8BF121" w14:textId="77777777" w:rsidR="000A2EB2" w:rsidRDefault="00000000">
            <w:r>
              <w:t>Activism pressure is more likely to be political (via the state) than shareholder-led</w:t>
            </w:r>
          </w:p>
        </w:tc>
      </w:tr>
    </w:tbl>
    <w:p w14:paraId="38F0E7F7" w14:textId="77777777" w:rsidR="000A2EB2" w:rsidRDefault="000A2EB2"/>
    <w:p w14:paraId="0CFFC666" w14:textId="77777777" w:rsidR="000A2EB2" w:rsidRDefault="00000000">
      <w:pPr>
        <w:pStyle w:val="Heading1"/>
      </w:pPr>
      <w:r>
        <w:t>Part X -- Tables and Frameworks</w:t>
      </w:r>
    </w:p>
    <w:p w14:paraId="4B6AFE76" w14:textId="77777777" w:rsidR="000A2EB2" w:rsidRDefault="00000000">
      <w:r>
        <w:t>This Part consolidates three reference tables for classroom use: (i) a table of major activist campaigns spanning the case vignettes in Part VIII plus additional well-known campaigns not developed as full vignettes; (ii) an "activist playbook" process-flow table describing each stage of a typical campaign; and (iii) an expanded defense-tactics comparison table covering poison pills, staggered boards, supermajority provisions, and dual-class stock.</w:t>
      </w:r>
    </w:p>
    <w:p w14:paraId="62B0D2AD" w14:textId="77777777" w:rsidR="000A2EB2" w:rsidRDefault="00000000">
      <w:pPr>
        <w:jc w:val="center"/>
      </w:pPr>
      <w:r>
        <w:rPr>
          <w:noProof/>
        </w:rPr>
        <w:lastRenderedPageBreak/>
        <w:drawing>
          <wp:inline distT="0" distB="0" distL="0" distR="0" wp14:anchorId="6227AB5B" wp14:editId="26E5A38B">
            <wp:extent cx="5486400" cy="3317358"/>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funnel.png"/>
                    <pic:cNvPicPr/>
                  </pic:nvPicPr>
                  <pic:blipFill>
                    <a:blip r:embed="rId8"/>
                    <a:stretch>
                      <a:fillRect/>
                    </a:stretch>
                  </pic:blipFill>
                  <pic:spPr>
                    <a:xfrm>
                      <a:off x="0" y="0"/>
                      <a:ext cx="5486400" cy="3317358"/>
                    </a:xfrm>
                    <a:prstGeom prst="rect">
                      <a:avLst/>
                    </a:prstGeom>
                  </pic:spPr>
                </pic:pic>
              </a:graphicData>
            </a:graphic>
          </wp:inline>
        </w:drawing>
      </w:r>
    </w:p>
    <w:p w14:paraId="348F2093" w14:textId="77777777" w:rsidR="000A2EB2" w:rsidRDefault="00000000">
      <w:pPr>
        <w:jc w:val="center"/>
      </w:pPr>
      <w:r>
        <w:rPr>
          <w:i/>
          <w:sz w:val="19"/>
        </w:rPr>
        <w:t>Figure D. Illustrative campaign-outcome funnel: of all campaigns launched, most narrow steadily from private engagement through to a won board seat. Figures are stylized composites for teaching purposes, not a single firm or dataset.</w:t>
      </w:r>
    </w:p>
    <w:p w14:paraId="71E16631" w14:textId="77777777" w:rsidR="000A2EB2" w:rsidRDefault="00000000">
      <w:pPr>
        <w:pStyle w:val="Heading2"/>
      </w:pPr>
      <w:r>
        <w:t>10.1 Table of Major Activist Campaigns</w:t>
      </w:r>
    </w:p>
    <w:tbl>
      <w:tblPr>
        <w:tblW w:w="9720" w:type="dxa"/>
        <w:tblLayout w:type="fixed"/>
        <w:tblCellMar>
          <w:left w:w="10" w:type="dxa"/>
          <w:right w:w="10" w:type="dxa"/>
        </w:tblCellMar>
        <w:tblLook w:val="04A0" w:firstRow="1" w:lastRow="0" w:firstColumn="1" w:lastColumn="0" w:noHBand="0" w:noVBand="1"/>
      </w:tblPr>
      <w:tblGrid>
        <w:gridCol w:w="1944"/>
        <w:gridCol w:w="1944"/>
        <w:gridCol w:w="1944"/>
        <w:gridCol w:w="1944"/>
        <w:gridCol w:w="1944"/>
      </w:tblGrid>
      <w:tr w:rsidR="000A2EB2" w14:paraId="0ABB371E" w14:textId="77777777">
        <w:tblPrEx>
          <w:tblCellMar>
            <w:top w:w="0" w:type="dxa"/>
            <w:bottom w:w="0" w:type="dxa"/>
          </w:tblCellMar>
        </w:tblPrEx>
        <w:tc>
          <w:tcPr>
            <w:tcW w:w="1944" w:type="dxa"/>
            <w:shd w:val="clear" w:color="auto" w:fill="DCE6F1"/>
          </w:tcPr>
          <w:p w14:paraId="6F1A47E1" w14:textId="77777777" w:rsidR="000A2EB2" w:rsidRDefault="00000000">
            <w:r>
              <w:rPr>
                <w:b/>
              </w:rPr>
              <w:t>Activist</w:t>
            </w:r>
          </w:p>
        </w:tc>
        <w:tc>
          <w:tcPr>
            <w:tcW w:w="1944" w:type="dxa"/>
            <w:shd w:val="clear" w:color="auto" w:fill="DCE6F1"/>
          </w:tcPr>
          <w:p w14:paraId="5E447A19" w14:textId="77777777" w:rsidR="000A2EB2" w:rsidRDefault="00000000">
            <w:r>
              <w:rPr>
                <w:b/>
              </w:rPr>
              <w:t>Target</w:t>
            </w:r>
          </w:p>
        </w:tc>
        <w:tc>
          <w:tcPr>
            <w:tcW w:w="1944" w:type="dxa"/>
            <w:shd w:val="clear" w:color="auto" w:fill="DCE6F1"/>
          </w:tcPr>
          <w:p w14:paraId="040CF890" w14:textId="77777777" w:rsidR="000A2EB2" w:rsidRDefault="00000000">
            <w:r>
              <w:rPr>
                <w:b/>
              </w:rPr>
              <w:t>Year(s)</w:t>
            </w:r>
          </w:p>
        </w:tc>
        <w:tc>
          <w:tcPr>
            <w:tcW w:w="1944" w:type="dxa"/>
            <w:shd w:val="clear" w:color="auto" w:fill="DCE6F1"/>
          </w:tcPr>
          <w:p w14:paraId="00A859E0" w14:textId="77777777" w:rsidR="000A2EB2" w:rsidRDefault="00000000">
            <w:r>
              <w:rPr>
                <w:b/>
              </w:rPr>
              <w:t>Demand Type</w:t>
            </w:r>
          </w:p>
        </w:tc>
        <w:tc>
          <w:tcPr>
            <w:tcW w:w="1944" w:type="dxa"/>
            <w:shd w:val="clear" w:color="auto" w:fill="DCE6F1"/>
          </w:tcPr>
          <w:p w14:paraId="558C8445" w14:textId="77777777" w:rsidR="000A2EB2" w:rsidRDefault="00000000">
            <w:r>
              <w:rPr>
                <w:b/>
              </w:rPr>
              <w:t>Outcome</w:t>
            </w:r>
          </w:p>
        </w:tc>
      </w:tr>
      <w:tr w:rsidR="000A2EB2" w14:paraId="6C6E851E" w14:textId="77777777">
        <w:tblPrEx>
          <w:tblCellMar>
            <w:top w:w="0" w:type="dxa"/>
            <w:bottom w:w="0" w:type="dxa"/>
          </w:tblCellMar>
        </w:tblPrEx>
        <w:tc>
          <w:tcPr>
            <w:tcW w:w="1944" w:type="dxa"/>
          </w:tcPr>
          <w:p w14:paraId="4B3E35FE" w14:textId="77777777" w:rsidR="000A2EB2" w:rsidRDefault="00000000">
            <w:r>
              <w:t>Carl Icahn / Icahn Enterprises</w:t>
            </w:r>
          </w:p>
        </w:tc>
        <w:tc>
          <w:tcPr>
            <w:tcW w:w="1944" w:type="dxa"/>
          </w:tcPr>
          <w:p w14:paraId="2CAA1EAD" w14:textId="77777777" w:rsidR="000A2EB2" w:rsidRDefault="00000000">
            <w:r>
              <w:t>Apple Inc.</w:t>
            </w:r>
          </w:p>
        </w:tc>
        <w:tc>
          <w:tcPr>
            <w:tcW w:w="1944" w:type="dxa"/>
          </w:tcPr>
          <w:p w14:paraId="15679EAE" w14:textId="77777777" w:rsidR="000A2EB2" w:rsidRDefault="00000000">
            <w:r>
              <w:t>2013-2016</w:t>
            </w:r>
          </w:p>
        </w:tc>
        <w:tc>
          <w:tcPr>
            <w:tcW w:w="1944" w:type="dxa"/>
          </w:tcPr>
          <w:p w14:paraId="433F25CB" w14:textId="77777777" w:rsidR="000A2EB2" w:rsidRDefault="00000000">
            <w:r>
              <w:t>Capital allocation (larger buyback)</w:t>
            </w:r>
          </w:p>
        </w:tc>
        <w:tc>
          <w:tcPr>
            <w:tcW w:w="1944" w:type="dxa"/>
          </w:tcPr>
          <w:p w14:paraId="6899B981" w14:textId="77777777" w:rsidR="000A2EB2" w:rsidRDefault="00000000">
            <w:r>
              <w:t>No formal board seat sought; Apple substantially expanded capital return program; Icahn exited at a profit in 2016</w:t>
            </w:r>
          </w:p>
        </w:tc>
      </w:tr>
      <w:tr w:rsidR="000A2EB2" w14:paraId="7AD49D7D" w14:textId="77777777">
        <w:tblPrEx>
          <w:tblCellMar>
            <w:top w:w="0" w:type="dxa"/>
            <w:bottom w:w="0" w:type="dxa"/>
          </w:tblCellMar>
        </w:tblPrEx>
        <w:tc>
          <w:tcPr>
            <w:tcW w:w="1944" w:type="dxa"/>
          </w:tcPr>
          <w:p w14:paraId="66F5C862" w14:textId="77777777" w:rsidR="000A2EB2" w:rsidRDefault="00000000">
            <w:r>
              <w:t>Third Point / Daniel Loeb</w:t>
            </w:r>
          </w:p>
        </w:tc>
        <w:tc>
          <w:tcPr>
            <w:tcW w:w="1944" w:type="dxa"/>
          </w:tcPr>
          <w:p w14:paraId="7E15346F" w14:textId="77777777" w:rsidR="000A2EB2" w:rsidRDefault="00000000">
            <w:r>
              <w:t>Yahoo! Inc.</w:t>
            </w:r>
          </w:p>
        </w:tc>
        <w:tc>
          <w:tcPr>
            <w:tcW w:w="1944" w:type="dxa"/>
          </w:tcPr>
          <w:p w14:paraId="0E89888E" w14:textId="77777777" w:rsidR="000A2EB2" w:rsidRDefault="00000000">
            <w:r>
              <w:t>2011-2012</w:t>
            </w:r>
          </w:p>
        </w:tc>
        <w:tc>
          <w:tcPr>
            <w:tcW w:w="1944" w:type="dxa"/>
          </w:tcPr>
          <w:p w14:paraId="4D48575F" w14:textId="77777777" w:rsidR="000A2EB2" w:rsidRDefault="00000000">
            <w:r>
              <w:t>Governance reform; CEO removal; board seats</w:t>
            </w:r>
          </w:p>
        </w:tc>
        <w:tc>
          <w:tcPr>
            <w:tcW w:w="1944" w:type="dxa"/>
          </w:tcPr>
          <w:p w14:paraId="6B4CC2A8" w14:textId="77777777" w:rsidR="000A2EB2" w:rsidRDefault="00000000">
            <w:r>
              <w:t>Settlement: 3 board seats (Loeb, Wilson, Wolf); CEO Thompson resigned; new CEO Marissa Mayer recruited</w:t>
            </w:r>
          </w:p>
        </w:tc>
      </w:tr>
      <w:tr w:rsidR="000A2EB2" w14:paraId="7321A34C" w14:textId="77777777">
        <w:tblPrEx>
          <w:tblCellMar>
            <w:top w:w="0" w:type="dxa"/>
            <w:bottom w:w="0" w:type="dxa"/>
          </w:tblCellMar>
        </w:tblPrEx>
        <w:tc>
          <w:tcPr>
            <w:tcW w:w="1944" w:type="dxa"/>
          </w:tcPr>
          <w:p w14:paraId="49AACB5B" w14:textId="77777777" w:rsidR="000A2EB2" w:rsidRDefault="00000000">
            <w:r>
              <w:t>Starboard Value</w:t>
            </w:r>
          </w:p>
        </w:tc>
        <w:tc>
          <w:tcPr>
            <w:tcW w:w="1944" w:type="dxa"/>
          </w:tcPr>
          <w:p w14:paraId="38484125" w14:textId="77777777" w:rsidR="000A2EB2" w:rsidRDefault="00000000">
            <w:r>
              <w:t>Darden Restaurants</w:t>
            </w:r>
          </w:p>
        </w:tc>
        <w:tc>
          <w:tcPr>
            <w:tcW w:w="1944" w:type="dxa"/>
          </w:tcPr>
          <w:p w14:paraId="46F7EF2C" w14:textId="77777777" w:rsidR="000A2EB2" w:rsidRDefault="00000000">
            <w:r>
              <w:t>2013-2014</w:t>
            </w:r>
          </w:p>
        </w:tc>
        <w:tc>
          <w:tcPr>
            <w:tcW w:w="1944" w:type="dxa"/>
          </w:tcPr>
          <w:p w14:paraId="309F56CF" w14:textId="77777777" w:rsidR="000A2EB2" w:rsidRDefault="00000000">
            <w:r>
              <w:t>Full board replacement; operational turnaround</w:t>
            </w:r>
          </w:p>
        </w:tc>
        <w:tc>
          <w:tcPr>
            <w:tcW w:w="1944" w:type="dxa"/>
          </w:tcPr>
          <w:p w14:paraId="6BD20549" w14:textId="77777777" w:rsidR="000A2EB2" w:rsidRDefault="00000000">
            <w:r>
              <w:t>Starboard's complete 12-nominee slate won; full board replaced; new CEO installed</w:t>
            </w:r>
          </w:p>
        </w:tc>
      </w:tr>
      <w:tr w:rsidR="000A2EB2" w14:paraId="080CEF16" w14:textId="77777777">
        <w:tblPrEx>
          <w:tblCellMar>
            <w:top w:w="0" w:type="dxa"/>
            <w:bottom w:w="0" w:type="dxa"/>
          </w:tblCellMar>
        </w:tblPrEx>
        <w:tc>
          <w:tcPr>
            <w:tcW w:w="1944" w:type="dxa"/>
          </w:tcPr>
          <w:p w14:paraId="6C829C75" w14:textId="77777777" w:rsidR="000A2EB2" w:rsidRDefault="00000000">
            <w:r>
              <w:lastRenderedPageBreak/>
              <w:t>Elliott Management</w:t>
            </w:r>
          </w:p>
        </w:tc>
        <w:tc>
          <w:tcPr>
            <w:tcW w:w="1944" w:type="dxa"/>
          </w:tcPr>
          <w:p w14:paraId="69B92C76" w14:textId="77777777" w:rsidR="000A2EB2" w:rsidRDefault="00000000">
            <w:r>
              <w:t>AT&amp;T Inc.</w:t>
            </w:r>
          </w:p>
        </w:tc>
        <w:tc>
          <w:tcPr>
            <w:tcW w:w="1944" w:type="dxa"/>
          </w:tcPr>
          <w:p w14:paraId="7FEBA3B9" w14:textId="77777777" w:rsidR="000A2EB2" w:rsidRDefault="00000000">
            <w:r>
              <w:t>2019-2021</w:t>
            </w:r>
          </w:p>
        </w:tc>
        <w:tc>
          <w:tcPr>
            <w:tcW w:w="1944" w:type="dxa"/>
          </w:tcPr>
          <w:p w14:paraId="0DF4EFE3" w14:textId="77777777" w:rsidR="000A2EB2" w:rsidRPr="00FC0D99" w:rsidRDefault="00000000">
            <w:pPr>
              <w:rPr>
                <w:lang w:val="pt-PT"/>
              </w:rPr>
            </w:pPr>
            <w:r w:rsidRPr="00FC0D99">
              <w:rPr>
                <w:lang w:val="pt-PT"/>
              </w:rPr>
              <w:t>Capital discipline; portfolio focus; board refresh</w:t>
            </w:r>
          </w:p>
        </w:tc>
        <w:tc>
          <w:tcPr>
            <w:tcW w:w="1944" w:type="dxa"/>
          </w:tcPr>
          <w:p w14:paraId="08A39EBA" w14:textId="77777777" w:rsidR="000A2EB2" w:rsidRDefault="00000000">
            <w:r>
              <w:t>Settlement without initial board seat; DirecTV divested; WarnerMedia spun off/merged with Discovery</w:t>
            </w:r>
          </w:p>
        </w:tc>
      </w:tr>
      <w:tr w:rsidR="000A2EB2" w14:paraId="6F2BAFC3" w14:textId="77777777">
        <w:tblPrEx>
          <w:tblCellMar>
            <w:top w:w="0" w:type="dxa"/>
            <w:bottom w:w="0" w:type="dxa"/>
          </w:tblCellMar>
        </w:tblPrEx>
        <w:tc>
          <w:tcPr>
            <w:tcW w:w="1944" w:type="dxa"/>
          </w:tcPr>
          <w:p w14:paraId="733CC43B" w14:textId="77777777" w:rsidR="000A2EB2" w:rsidRDefault="00000000">
            <w:r>
              <w:t>Elliott Management / Silver Lake</w:t>
            </w:r>
          </w:p>
        </w:tc>
        <w:tc>
          <w:tcPr>
            <w:tcW w:w="1944" w:type="dxa"/>
          </w:tcPr>
          <w:p w14:paraId="7D40EFD6" w14:textId="77777777" w:rsidR="000A2EB2" w:rsidRDefault="00000000">
            <w:r>
              <w:t>Twitter Inc.</w:t>
            </w:r>
          </w:p>
        </w:tc>
        <w:tc>
          <w:tcPr>
            <w:tcW w:w="1944" w:type="dxa"/>
          </w:tcPr>
          <w:p w14:paraId="3F3DCDDE" w14:textId="77777777" w:rsidR="000A2EB2" w:rsidRDefault="00000000">
            <w:r>
              <w:t>2020</w:t>
            </w:r>
          </w:p>
        </w:tc>
        <w:tc>
          <w:tcPr>
            <w:tcW w:w="1944" w:type="dxa"/>
          </w:tcPr>
          <w:p w14:paraId="410F917E" w14:textId="77777777" w:rsidR="000A2EB2" w:rsidRDefault="00000000">
            <w:r>
              <w:t>CEO scrutiny; board seats; succession planning</w:t>
            </w:r>
          </w:p>
        </w:tc>
        <w:tc>
          <w:tcPr>
            <w:tcW w:w="1944" w:type="dxa"/>
          </w:tcPr>
          <w:p w14:paraId="0D4D726E" w14:textId="77777777" w:rsidR="000A2EB2" w:rsidRDefault="00000000">
            <w:r>
              <w:t>Settlement: Elliott and Silver Lake each received a board seat; Dorsey remained CEO until Nov. 2021</w:t>
            </w:r>
          </w:p>
        </w:tc>
      </w:tr>
      <w:tr w:rsidR="000A2EB2" w14:paraId="3464026A" w14:textId="77777777">
        <w:tblPrEx>
          <w:tblCellMar>
            <w:top w:w="0" w:type="dxa"/>
            <w:bottom w:w="0" w:type="dxa"/>
          </w:tblCellMar>
        </w:tblPrEx>
        <w:tc>
          <w:tcPr>
            <w:tcW w:w="1944" w:type="dxa"/>
          </w:tcPr>
          <w:p w14:paraId="7A02C8D1" w14:textId="77777777" w:rsidR="000A2EB2" w:rsidRDefault="00000000">
            <w:r>
              <w:t>Pershing Square / Bill Ackman</w:t>
            </w:r>
          </w:p>
        </w:tc>
        <w:tc>
          <w:tcPr>
            <w:tcW w:w="1944" w:type="dxa"/>
          </w:tcPr>
          <w:p w14:paraId="57DEF93A" w14:textId="77777777" w:rsidR="000A2EB2" w:rsidRDefault="00000000">
            <w:r>
              <w:t>Herbalife Ltd.</w:t>
            </w:r>
          </w:p>
        </w:tc>
        <w:tc>
          <w:tcPr>
            <w:tcW w:w="1944" w:type="dxa"/>
          </w:tcPr>
          <w:p w14:paraId="200C174A" w14:textId="77777777" w:rsidR="000A2EB2" w:rsidRDefault="00000000">
            <w:r>
              <w:t>2012-2018</w:t>
            </w:r>
          </w:p>
        </w:tc>
        <w:tc>
          <w:tcPr>
            <w:tcW w:w="1944" w:type="dxa"/>
          </w:tcPr>
          <w:p w14:paraId="0AE636F8" w14:textId="77777777" w:rsidR="000A2EB2" w:rsidRDefault="00000000">
            <w:r>
              <w:t>Short-activism; allegation of illegal pyramid scheme</w:t>
            </w:r>
          </w:p>
        </w:tc>
        <w:tc>
          <w:tcPr>
            <w:tcW w:w="1944" w:type="dxa"/>
          </w:tcPr>
          <w:p w14:paraId="3CD78DB4" w14:textId="77777777" w:rsidR="000A2EB2" w:rsidRDefault="00000000">
            <w:r>
              <w:t>FTC settlement (2016) required restructuring but did not find a pyramid scheme; Ackman closed short at a loss (2018)</w:t>
            </w:r>
          </w:p>
        </w:tc>
      </w:tr>
      <w:tr w:rsidR="000A2EB2" w14:paraId="7D297640" w14:textId="77777777">
        <w:tblPrEx>
          <w:tblCellMar>
            <w:top w:w="0" w:type="dxa"/>
            <w:bottom w:w="0" w:type="dxa"/>
          </w:tblCellMar>
        </w:tblPrEx>
        <w:tc>
          <w:tcPr>
            <w:tcW w:w="1944" w:type="dxa"/>
          </w:tcPr>
          <w:p w14:paraId="7BBD760B" w14:textId="77777777" w:rsidR="000A2EB2" w:rsidRDefault="00000000">
            <w:r>
              <w:t>Pershing Square / Bill Ackman</w:t>
            </w:r>
          </w:p>
        </w:tc>
        <w:tc>
          <w:tcPr>
            <w:tcW w:w="1944" w:type="dxa"/>
          </w:tcPr>
          <w:p w14:paraId="2E668686" w14:textId="77777777" w:rsidR="000A2EB2" w:rsidRDefault="00000000">
            <w:r>
              <w:t>Canadian Pacific Railway</w:t>
            </w:r>
          </w:p>
        </w:tc>
        <w:tc>
          <w:tcPr>
            <w:tcW w:w="1944" w:type="dxa"/>
          </w:tcPr>
          <w:p w14:paraId="2E438657" w14:textId="77777777" w:rsidR="000A2EB2" w:rsidRDefault="00000000">
            <w:r>
              <w:t>2011-2012</w:t>
            </w:r>
          </w:p>
        </w:tc>
        <w:tc>
          <w:tcPr>
            <w:tcW w:w="1944" w:type="dxa"/>
          </w:tcPr>
          <w:p w14:paraId="6F859244" w14:textId="77777777" w:rsidR="000A2EB2" w:rsidRDefault="00000000">
            <w:r>
              <w:t>CEO replacement; operational turnaround</w:t>
            </w:r>
          </w:p>
        </w:tc>
        <w:tc>
          <w:tcPr>
            <w:tcW w:w="1944" w:type="dxa"/>
          </w:tcPr>
          <w:p w14:paraId="724932A9" w14:textId="77777777" w:rsidR="000A2EB2" w:rsidRDefault="00000000">
            <w:r>
              <w:t>Proxy fight settled pre-vote; CEO Fred Green replaced by Hunter Harrison; large multi-year turnaround followed</w:t>
            </w:r>
          </w:p>
        </w:tc>
      </w:tr>
      <w:tr w:rsidR="000A2EB2" w14:paraId="787F2753" w14:textId="77777777">
        <w:tblPrEx>
          <w:tblCellMar>
            <w:top w:w="0" w:type="dxa"/>
            <w:bottom w:w="0" w:type="dxa"/>
          </w:tblCellMar>
        </w:tblPrEx>
        <w:tc>
          <w:tcPr>
            <w:tcW w:w="1944" w:type="dxa"/>
          </w:tcPr>
          <w:p w14:paraId="3AAA7501" w14:textId="77777777" w:rsidR="000A2EB2" w:rsidRDefault="00000000">
            <w:r>
              <w:t>Engine No. 1</w:t>
            </w:r>
          </w:p>
        </w:tc>
        <w:tc>
          <w:tcPr>
            <w:tcW w:w="1944" w:type="dxa"/>
          </w:tcPr>
          <w:p w14:paraId="385775AA" w14:textId="77777777" w:rsidR="000A2EB2" w:rsidRDefault="00000000">
            <w:r>
              <w:t>ExxonMobil Corporation</w:t>
            </w:r>
          </w:p>
        </w:tc>
        <w:tc>
          <w:tcPr>
            <w:tcW w:w="1944" w:type="dxa"/>
          </w:tcPr>
          <w:p w14:paraId="0E49CD7B" w14:textId="77777777" w:rsidR="000A2EB2" w:rsidRDefault="00000000">
            <w:r>
              <w:t>2020-2021</w:t>
            </w:r>
          </w:p>
        </w:tc>
        <w:tc>
          <w:tcPr>
            <w:tcW w:w="1944" w:type="dxa"/>
          </w:tcPr>
          <w:p w14:paraId="405CAF8A" w14:textId="77777777" w:rsidR="000A2EB2" w:rsidRDefault="00000000">
            <w:r>
              <w:t>Board refresh; climate-transition strategy (ESG)</w:t>
            </w:r>
          </w:p>
        </w:tc>
        <w:tc>
          <w:tcPr>
            <w:tcW w:w="1944" w:type="dxa"/>
          </w:tcPr>
          <w:p w14:paraId="3EC72264" w14:textId="77777777" w:rsidR="000A2EB2" w:rsidRDefault="00000000">
            <w:r>
              <w:t>3 of 4 nominees elected; first activist board seats in ExxonMobil history</w:t>
            </w:r>
          </w:p>
        </w:tc>
      </w:tr>
      <w:tr w:rsidR="000A2EB2" w14:paraId="56281A38" w14:textId="77777777">
        <w:tblPrEx>
          <w:tblCellMar>
            <w:top w:w="0" w:type="dxa"/>
            <w:bottom w:w="0" w:type="dxa"/>
          </w:tblCellMar>
        </w:tblPrEx>
        <w:tc>
          <w:tcPr>
            <w:tcW w:w="1944" w:type="dxa"/>
          </w:tcPr>
          <w:p w14:paraId="4114828E" w14:textId="77777777" w:rsidR="000A2EB2" w:rsidRDefault="00000000">
            <w:r>
              <w:t>Trian Partners / Nelson Peltz</w:t>
            </w:r>
          </w:p>
        </w:tc>
        <w:tc>
          <w:tcPr>
            <w:tcW w:w="1944" w:type="dxa"/>
          </w:tcPr>
          <w:p w14:paraId="4AE14E89" w14:textId="77777777" w:rsidR="000A2EB2" w:rsidRDefault="00000000">
            <w:r>
              <w:t>Procter &amp; Gamble</w:t>
            </w:r>
          </w:p>
        </w:tc>
        <w:tc>
          <w:tcPr>
            <w:tcW w:w="1944" w:type="dxa"/>
          </w:tcPr>
          <w:p w14:paraId="408ECC84" w14:textId="77777777" w:rsidR="000A2EB2" w:rsidRDefault="00000000">
            <w:r>
              <w:t>2017</w:t>
            </w:r>
          </w:p>
        </w:tc>
        <w:tc>
          <w:tcPr>
            <w:tcW w:w="1944" w:type="dxa"/>
          </w:tcPr>
          <w:p w14:paraId="4148A943" w14:textId="77777777" w:rsidR="000A2EB2" w:rsidRDefault="00000000">
            <w:r>
              <w:t>Board seat; organizational simplification</w:t>
            </w:r>
          </w:p>
        </w:tc>
        <w:tc>
          <w:tcPr>
            <w:tcW w:w="1944" w:type="dxa"/>
          </w:tcPr>
          <w:p w14:paraId="1B9249DB" w14:textId="77777777" w:rsidR="000A2EB2" w:rsidRDefault="00000000">
            <w:r>
              <w:t>Extremely narrow contested vote; Peltz seated after recount/settlement (Dec. 2017)</w:t>
            </w:r>
          </w:p>
        </w:tc>
      </w:tr>
      <w:tr w:rsidR="000A2EB2" w14:paraId="5A12747C" w14:textId="77777777">
        <w:tblPrEx>
          <w:tblCellMar>
            <w:top w:w="0" w:type="dxa"/>
            <w:bottom w:w="0" w:type="dxa"/>
          </w:tblCellMar>
        </w:tblPrEx>
        <w:tc>
          <w:tcPr>
            <w:tcW w:w="1944" w:type="dxa"/>
          </w:tcPr>
          <w:p w14:paraId="5B82B101" w14:textId="77777777" w:rsidR="000A2EB2" w:rsidRDefault="00000000">
            <w:r>
              <w:t>Trian Partners / Nelson Peltz</w:t>
            </w:r>
          </w:p>
        </w:tc>
        <w:tc>
          <w:tcPr>
            <w:tcW w:w="1944" w:type="dxa"/>
          </w:tcPr>
          <w:p w14:paraId="3FCD6B53" w14:textId="77777777" w:rsidR="000A2EB2" w:rsidRDefault="00000000">
            <w:r>
              <w:t>The Walt Disney Company</w:t>
            </w:r>
          </w:p>
        </w:tc>
        <w:tc>
          <w:tcPr>
            <w:tcW w:w="1944" w:type="dxa"/>
          </w:tcPr>
          <w:p w14:paraId="469B2193" w14:textId="77777777" w:rsidR="000A2EB2" w:rsidRDefault="00000000">
            <w:r>
              <w:t>2023-2024</w:t>
            </w:r>
          </w:p>
        </w:tc>
        <w:tc>
          <w:tcPr>
            <w:tcW w:w="1944" w:type="dxa"/>
          </w:tcPr>
          <w:p w14:paraId="4863D6C0" w14:textId="77777777" w:rsidR="000A2EB2" w:rsidRDefault="00000000">
            <w:r>
              <w:t>Board seats; cost discipline; succession planning</w:t>
            </w:r>
          </w:p>
        </w:tc>
        <w:tc>
          <w:tcPr>
            <w:tcW w:w="1944" w:type="dxa"/>
          </w:tcPr>
          <w:p w14:paraId="39324F21" w14:textId="77777777" w:rsidR="000A2EB2" w:rsidRDefault="00000000">
            <w:r>
              <w:t>Trian's and Blackwells' nominees decisively defeated at April 2024 annual meeting</w:t>
            </w:r>
          </w:p>
        </w:tc>
      </w:tr>
      <w:tr w:rsidR="000A2EB2" w14:paraId="79A215A1" w14:textId="77777777">
        <w:tblPrEx>
          <w:tblCellMar>
            <w:top w:w="0" w:type="dxa"/>
            <w:bottom w:w="0" w:type="dxa"/>
          </w:tblCellMar>
        </w:tblPrEx>
        <w:tc>
          <w:tcPr>
            <w:tcW w:w="1944" w:type="dxa"/>
          </w:tcPr>
          <w:p w14:paraId="110BAE8A" w14:textId="77777777" w:rsidR="000A2EB2" w:rsidRDefault="00000000">
            <w:r>
              <w:lastRenderedPageBreak/>
              <w:t>Jana Partners</w:t>
            </w:r>
          </w:p>
        </w:tc>
        <w:tc>
          <w:tcPr>
            <w:tcW w:w="1944" w:type="dxa"/>
          </w:tcPr>
          <w:p w14:paraId="0833906B" w14:textId="77777777" w:rsidR="000A2EB2" w:rsidRDefault="00000000">
            <w:r>
              <w:t>Whole Foods Market</w:t>
            </w:r>
          </w:p>
        </w:tc>
        <w:tc>
          <w:tcPr>
            <w:tcW w:w="1944" w:type="dxa"/>
          </w:tcPr>
          <w:p w14:paraId="3D3819C2" w14:textId="77777777" w:rsidR="000A2EB2" w:rsidRDefault="00000000">
            <w:r>
              <w:t>2017</w:t>
            </w:r>
          </w:p>
        </w:tc>
        <w:tc>
          <w:tcPr>
            <w:tcW w:w="1944" w:type="dxa"/>
          </w:tcPr>
          <w:p w14:paraId="2C410CDB" w14:textId="77777777" w:rsidR="000A2EB2" w:rsidRDefault="00000000">
            <w:r>
              <w:t>Sale-of-company / strategic review</w:t>
            </w:r>
          </w:p>
        </w:tc>
        <w:tc>
          <w:tcPr>
            <w:tcW w:w="1944" w:type="dxa"/>
          </w:tcPr>
          <w:p w14:paraId="5696FE2E" w14:textId="77777777" w:rsidR="000A2EB2" w:rsidRDefault="00000000">
            <w:r>
              <w:t>Whole Foods agreed to be acquired by Amazon shortly after Jana's campaign became public</w:t>
            </w:r>
          </w:p>
        </w:tc>
      </w:tr>
      <w:tr w:rsidR="000A2EB2" w14:paraId="1555DBF9" w14:textId="77777777">
        <w:tblPrEx>
          <w:tblCellMar>
            <w:top w:w="0" w:type="dxa"/>
            <w:bottom w:w="0" w:type="dxa"/>
          </w:tblCellMar>
        </w:tblPrEx>
        <w:tc>
          <w:tcPr>
            <w:tcW w:w="1944" w:type="dxa"/>
          </w:tcPr>
          <w:p w14:paraId="5A24C968" w14:textId="77777777" w:rsidR="000A2EB2" w:rsidRDefault="00000000">
            <w:r>
              <w:t>ValueAct Capital</w:t>
            </w:r>
          </w:p>
        </w:tc>
        <w:tc>
          <w:tcPr>
            <w:tcW w:w="1944" w:type="dxa"/>
          </w:tcPr>
          <w:p w14:paraId="504F87CD" w14:textId="77777777" w:rsidR="000A2EB2" w:rsidRDefault="00000000">
            <w:r>
              <w:t>Microsoft Corporation</w:t>
            </w:r>
          </w:p>
        </w:tc>
        <w:tc>
          <w:tcPr>
            <w:tcW w:w="1944" w:type="dxa"/>
          </w:tcPr>
          <w:p w14:paraId="1619A854" w14:textId="77777777" w:rsidR="000A2EB2" w:rsidRDefault="00000000">
            <w:r>
              <w:t>2013</w:t>
            </w:r>
          </w:p>
        </w:tc>
        <w:tc>
          <w:tcPr>
            <w:tcW w:w="1944" w:type="dxa"/>
          </w:tcPr>
          <w:p w14:paraId="715B64B9" w14:textId="77777777" w:rsidR="000A2EB2" w:rsidRDefault="00000000">
            <w:r>
              <w:t>Board seat; capital allocation; strategic focus</w:t>
            </w:r>
          </w:p>
        </w:tc>
        <w:tc>
          <w:tcPr>
            <w:tcW w:w="1944" w:type="dxa"/>
          </w:tcPr>
          <w:p w14:paraId="5A33EE9D" w14:textId="77777777" w:rsidR="000A2EB2" w:rsidRDefault="00000000">
            <w:r>
              <w:t>Settlement: ValueAct's Mason Morfit received observer/board access without a full proxy fight</w:t>
            </w:r>
          </w:p>
        </w:tc>
      </w:tr>
      <w:tr w:rsidR="000A2EB2" w14:paraId="53AE0E9F" w14:textId="77777777">
        <w:tblPrEx>
          <w:tblCellMar>
            <w:top w:w="0" w:type="dxa"/>
            <w:bottom w:w="0" w:type="dxa"/>
          </w:tblCellMar>
        </w:tblPrEx>
        <w:tc>
          <w:tcPr>
            <w:tcW w:w="1944" w:type="dxa"/>
          </w:tcPr>
          <w:p w14:paraId="19E49841" w14:textId="77777777" w:rsidR="000A2EB2" w:rsidRDefault="00000000">
            <w:r>
              <w:t>Carl Icahn / Icahn Enterprises</w:t>
            </w:r>
          </w:p>
        </w:tc>
        <w:tc>
          <w:tcPr>
            <w:tcW w:w="1944" w:type="dxa"/>
          </w:tcPr>
          <w:p w14:paraId="71B1C350" w14:textId="77777777" w:rsidR="000A2EB2" w:rsidRDefault="00000000">
            <w:r>
              <w:t>Netflix Inc.</w:t>
            </w:r>
          </w:p>
        </w:tc>
        <w:tc>
          <w:tcPr>
            <w:tcW w:w="1944" w:type="dxa"/>
          </w:tcPr>
          <w:p w14:paraId="4B9EBBC3" w14:textId="77777777" w:rsidR="000A2EB2" w:rsidRDefault="00000000">
            <w:r>
              <w:t>2012-2013</w:t>
            </w:r>
          </w:p>
        </w:tc>
        <w:tc>
          <w:tcPr>
            <w:tcW w:w="1944" w:type="dxa"/>
          </w:tcPr>
          <w:p w14:paraId="239610AB" w14:textId="77777777" w:rsidR="000A2EB2" w:rsidRDefault="00000000">
            <w:r>
              <w:t>Sale-of-company pressure; board seats</w:t>
            </w:r>
          </w:p>
        </w:tc>
        <w:tc>
          <w:tcPr>
            <w:tcW w:w="1944" w:type="dxa"/>
          </w:tcPr>
          <w:p w14:paraId="4F0A2804" w14:textId="77777777" w:rsidR="000A2EB2" w:rsidRDefault="00000000">
            <w:r>
              <w:t>Icahn built a large stake, gained board influence, and exited at a substantial profit as the stock appreciated</w:t>
            </w:r>
          </w:p>
        </w:tc>
      </w:tr>
      <w:tr w:rsidR="000A2EB2" w14:paraId="10DE2A6C" w14:textId="77777777">
        <w:tblPrEx>
          <w:tblCellMar>
            <w:top w:w="0" w:type="dxa"/>
            <w:bottom w:w="0" w:type="dxa"/>
          </w:tblCellMar>
        </w:tblPrEx>
        <w:tc>
          <w:tcPr>
            <w:tcW w:w="1944" w:type="dxa"/>
          </w:tcPr>
          <w:p w14:paraId="5773DC8D" w14:textId="77777777" w:rsidR="000A2EB2" w:rsidRDefault="00000000">
            <w:r>
              <w:t>Third Point / Daniel Loeb</w:t>
            </w:r>
          </w:p>
        </w:tc>
        <w:tc>
          <w:tcPr>
            <w:tcW w:w="1944" w:type="dxa"/>
          </w:tcPr>
          <w:p w14:paraId="12E0F18E" w14:textId="77777777" w:rsidR="000A2EB2" w:rsidRDefault="00000000">
            <w:r>
              <w:t>Sotheby's</w:t>
            </w:r>
          </w:p>
        </w:tc>
        <w:tc>
          <w:tcPr>
            <w:tcW w:w="1944" w:type="dxa"/>
          </w:tcPr>
          <w:p w14:paraId="5A9F9061" w14:textId="77777777" w:rsidR="000A2EB2" w:rsidRDefault="00000000">
            <w:r>
              <w:t>2013-2014</w:t>
            </w:r>
          </w:p>
        </w:tc>
        <w:tc>
          <w:tcPr>
            <w:tcW w:w="1944" w:type="dxa"/>
          </w:tcPr>
          <w:p w14:paraId="3672B121" w14:textId="77777777" w:rsidR="000A2EB2" w:rsidRDefault="00000000">
            <w:r>
              <w:t>Governance reform; board seats; cost discipline</w:t>
            </w:r>
          </w:p>
        </w:tc>
        <w:tc>
          <w:tcPr>
            <w:tcW w:w="1944" w:type="dxa"/>
          </w:tcPr>
          <w:p w14:paraId="69021B4C" w14:textId="77777777" w:rsidR="000A2EB2" w:rsidRDefault="00000000">
            <w:r>
              <w:t>Settlement after litigation over poison pill; Loeb and allies received board seats</w:t>
            </w:r>
          </w:p>
        </w:tc>
      </w:tr>
    </w:tbl>
    <w:p w14:paraId="360E35B8" w14:textId="77777777" w:rsidR="000A2EB2" w:rsidRDefault="000A2EB2"/>
    <w:p w14:paraId="5A2FAE6E" w14:textId="77777777" w:rsidR="000A2EB2" w:rsidRDefault="00000000">
      <w:pPr>
        <w:jc w:val="center"/>
      </w:pPr>
      <w:r>
        <w:rPr>
          <w:noProof/>
        </w:rPr>
        <w:drawing>
          <wp:inline distT="0" distB="0" distL="0" distR="0" wp14:anchorId="52BFCB09" wp14:editId="22DCF34F">
            <wp:extent cx="5486400" cy="240356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lifecycle.png"/>
                    <pic:cNvPicPr/>
                  </pic:nvPicPr>
                  <pic:blipFill>
                    <a:blip r:embed="rId9"/>
                    <a:stretch>
                      <a:fillRect/>
                    </a:stretch>
                  </pic:blipFill>
                  <pic:spPr>
                    <a:xfrm>
                      <a:off x="0" y="0"/>
                      <a:ext cx="5486400" cy="2403565"/>
                    </a:xfrm>
                    <a:prstGeom prst="rect">
                      <a:avLst/>
                    </a:prstGeom>
                  </pic:spPr>
                </pic:pic>
              </a:graphicData>
            </a:graphic>
          </wp:inline>
        </w:drawing>
      </w:r>
    </w:p>
    <w:p w14:paraId="7243A2F3" w14:textId="77777777" w:rsidR="000A2EB2" w:rsidRDefault="00000000">
      <w:pPr>
        <w:jc w:val="center"/>
      </w:pPr>
      <w:r>
        <w:rPr>
          <w:i/>
          <w:sz w:val="19"/>
        </w:rPr>
        <w:t>Figure A. The activist campaign lifecycle: stake-building, private engagement, public campaign, proxy fight or settlement, and outcome. Applies to both the Western vignettes in Part VIII and the Koc/Sabanci/THY analysis in Part IX, where the campaign typically stalls at Stage 1-2.</w:t>
      </w:r>
    </w:p>
    <w:p w14:paraId="0B1C5CF7" w14:textId="77777777" w:rsidR="00FC0D99" w:rsidRDefault="00FC0D99">
      <w:pPr>
        <w:pStyle w:val="Heading2"/>
      </w:pPr>
    </w:p>
    <w:p w14:paraId="2CE59E40" w14:textId="77777777" w:rsidR="00FC0D99" w:rsidRDefault="00FC0D99">
      <w:pPr>
        <w:pStyle w:val="Heading2"/>
      </w:pPr>
    </w:p>
    <w:p w14:paraId="27CF412F" w14:textId="5A27333D" w:rsidR="000A2EB2" w:rsidRDefault="00000000">
      <w:pPr>
        <w:pStyle w:val="Heading2"/>
      </w:pPr>
      <w:r>
        <w:lastRenderedPageBreak/>
        <w:t>10.2 The Activist Playbook: Process-Flow Table</w:t>
      </w:r>
    </w:p>
    <w:tbl>
      <w:tblPr>
        <w:tblW w:w="9720" w:type="dxa"/>
        <w:tblLayout w:type="fixed"/>
        <w:tblCellMar>
          <w:left w:w="10" w:type="dxa"/>
          <w:right w:w="10" w:type="dxa"/>
        </w:tblCellMar>
        <w:tblLook w:val="04A0" w:firstRow="1" w:lastRow="0" w:firstColumn="1" w:lastColumn="0" w:noHBand="0" w:noVBand="1"/>
      </w:tblPr>
      <w:tblGrid>
        <w:gridCol w:w="4860"/>
        <w:gridCol w:w="4860"/>
      </w:tblGrid>
      <w:tr w:rsidR="000A2EB2" w14:paraId="1D434AF9" w14:textId="77777777">
        <w:tblPrEx>
          <w:tblCellMar>
            <w:top w:w="0" w:type="dxa"/>
            <w:bottom w:w="0" w:type="dxa"/>
          </w:tblCellMar>
        </w:tblPrEx>
        <w:tc>
          <w:tcPr>
            <w:tcW w:w="4860" w:type="dxa"/>
            <w:shd w:val="clear" w:color="auto" w:fill="DCE6F1"/>
          </w:tcPr>
          <w:p w14:paraId="55047A1F" w14:textId="77777777" w:rsidR="000A2EB2" w:rsidRDefault="00000000">
            <w:r>
              <w:rPr>
                <w:b/>
              </w:rPr>
              <w:t>Stage</w:t>
            </w:r>
          </w:p>
        </w:tc>
        <w:tc>
          <w:tcPr>
            <w:tcW w:w="4860" w:type="dxa"/>
            <w:shd w:val="clear" w:color="auto" w:fill="DCE6F1"/>
          </w:tcPr>
          <w:p w14:paraId="27CDCD22" w14:textId="77777777" w:rsidR="000A2EB2" w:rsidRDefault="00000000">
            <w:r>
              <w:rPr>
                <w:b/>
              </w:rPr>
              <w:t>Description</w:t>
            </w:r>
          </w:p>
        </w:tc>
      </w:tr>
      <w:tr w:rsidR="000A2EB2" w14:paraId="2F70E45E" w14:textId="77777777">
        <w:tblPrEx>
          <w:tblCellMar>
            <w:top w:w="0" w:type="dxa"/>
            <w:bottom w:w="0" w:type="dxa"/>
          </w:tblCellMar>
        </w:tblPrEx>
        <w:tc>
          <w:tcPr>
            <w:tcW w:w="4860" w:type="dxa"/>
          </w:tcPr>
          <w:p w14:paraId="39A00015" w14:textId="77777777" w:rsidR="000A2EB2" w:rsidRDefault="00000000">
            <w:r>
              <w:t>1. Target screening</w:t>
            </w:r>
          </w:p>
        </w:tc>
        <w:tc>
          <w:tcPr>
            <w:tcW w:w="4860" w:type="dxa"/>
          </w:tcPr>
          <w:p w14:paraId="4A30065C" w14:textId="77777777" w:rsidR="000A2EB2" w:rsidRDefault="00000000">
            <w:r>
              <w:t>The activist fund screens for candidates using quantitative filters (valuation discount to peers or sum-of-the-parts, weak total shareholder return, excess leverage capacity, low insider ownership) and qualitative filters (perceived governance weakness, board tenure/refresh need, a plausible operational or strategic improvement thesis, and the absence of a controlling shareholder or dual-class structure that would foreclose a future contest, per Part IX).</w:t>
            </w:r>
          </w:p>
        </w:tc>
      </w:tr>
      <w:tr w:rsidR="000A2EB2" w14:paraId="4E1A8D9D" w14:textId="77777777">
        <w:tblPrEx>
          <w:tblCellMar>
            <w:top w:w="0" w:type="dxa"/>
            <w:bottom w:w="0" w:type="dxa"/>
          </w:tblCellMar>
        </w:tblPrEx>
        <w:tc>
          <w:tcPr>
            <w:tcW w:w="4860" w:type="dxa"/>
          </w:tcPr>
          <w:p w14:paraId="18F5C809" w14:textId="77777777" w:rsidR="000A2EB2" w:rsidRDefault="00000000">
            <w:r>
              <w:t>2. Building a stake</w:t>
            </w:r>
          </w:p>
        </w:tc>
        <w:tc>
          <w:tcPr>
            <w:tcW w:w="4860" w:type="dxa"/>
          </w:tcPr>
          <w:p w14:paraId="2807CB9A" w14:textId="77777777" w:rsidR="000A2EB2" w:rsidRDefault="00000000">
            <w:r>
              <w:t>The fund accumulates shares, frequently using a combination of open-market purchases, derivatives (total return swaps, options), and carefully paced trading to avoid triggering the Section 13(d) 10% (or lower, in some jurisdictions) disclosure threshold prematurely, and to avoid moving the market price against itself before the position is fully built; stakes are typically built to somewhere between 1% and 10%, calibrated (per the Part VII, section 7.1 worked example) to exceed the fund's own break-even ownership threshold for the specific value-creation thesis being pursued.</w:t>
            </w:r>
          </w:p>
        </w:tc>
      </w:tr>
      <w:tr w:rsidR="000A2EB2" w14:paraId="2D584F40" w14:textId="77777777">
        <w:tblPrEx>
          <w:tblCellMar>
            <w:top w:w="0" w:type="dxa"/>
            <w:bottom w:w="0" w:type="dxa"/>
          </w:tblCellMar>
        </w:tblPrEx>
        <w:tc>
          <w:tcPr>
            <w:tcW w:w="4860" w:type="dxa"/>
          </w:tcPr>
          <w:p w14:paraId="6BB7A27D" w14:textId="77777777" w:rsidR="000A2EB2" w:rsidRDefault="00000000">
            <w:r>
              <w:t>3. Private engagement</w:t>
            </w:r>
          </w:p>
        </w:tc>
        <w:tc>
          <w:tcPr>
            <w:tcW w:w="4860" w:type="dxa"/>
          </w:tcPr>
          <w:p w14:paraId="7EE1892C" w14:textId="77777777" w:rsidR="000A2EB2" w:rsidRDefault="00000000">
            <w:r>
              <w:t>The activist privately approaches the board and/or management, presenting its thesis and proposed changes, seeking to resolve the matter without any public disclosure; a large share of activist engagements are resolved, or abandoned, entirely at this private stage without ever becoming publicly known.</w:t>
            </w:r>
          </w:p>
        </w:tc>
      </w:tr>
      <w:tr w:rsidR="000A2EB2" w14:paraId="5918B1B6" w14:textId="77777777">
        <w:tblPrEx>
          <w:tblCellMar>
            <w:top w:w="0" w:type="dxa"/>
            <w:bottom w:w="0" w:type="dxa"/>
          </w:tblCellMar>
        </w:tblPrEx>
        <w:tc>
          <w:tcPr>
            <w:tcW w:w="4860" w:type="dxa"/>
          </w:tcPr>
          <w:p w14:paraId="2FE5243D" w14:textId="77777777" w:rsidR="000A2EB2" w:rsidRDefault="00000000">
            <w:r>
              <w:t>4. Public letter / white paper</w:t>
            </w:r>
          </w:p>
        </w:tc>
        <w:tc>
          <w:tcPr>
            <w:tcW w:w="4860" w:type="dxa"/>
          </w:tcPr>
          <w:p w14:paraId="04AC17C6" w14:textId="77777777" w:rsidR="000A2EB2" w:rsidRDefault="00000000">
            <w:r>
              <w:t>If private engagement fails to produce agreement, the activist escalates to a public letter or detailed investor presentation (sometimes running to hundreds of slides, as in the Ackman/Herbalife and Starboard/Darden cases), designed to build public and institutional-shareholder pressure and to signal credibility to ISS and Glass Lewis ahead of any possible future vote.</w:t>
            </w:r>
          </w:p>
        </w:tc>
      </w:tr>
      <w:tr w:rsidR="000A2EB2" w14:paraId="6A6DC81C" w14:textId="77777777">
        <w:tblPrEx>
          <w:tblCellMar>
            <w:top w:w="0" w:type="dxa"/>
            <w:bottom w:w="0" w:type="dxa"/>
          </w:tblCellMar>
        </w:tblPrEx>
        <w:tc>
          <w:tcPr>
            <w:tcW w:w="4860" w:type="dxa"/>
          </w:tcPr>
          <w:p w14:paraId="23668875" w14:textId="77777777" w:rsidR="000A2EB2" w:rsidRDefault="00000000">
            <w:r>
              <w:t>5. Nomination of dissident director candidates</w:t>
            </w:r>
          </w:p>
        </w:tc>
        <w:tc>
          <w:tcPr>
            <w:tcW w:w="4860" w:type="dxa"/>
          </w:tcPr>
          <w:p w14:paraId="2F8DB537" w14:textId="77777777" w:rsidR="000A2EB2" w:rsidRDefault="00000000">
            <w:r>
              <w:t xml:space="preserve">Ahead of the target's advance-notice bylaw deadline (Part IV, section 4.3), the activist formally nominates one or more director candidates, ranging from a </w:t>
            </w:r>
            <w:r>
              <w:lastRenderedPageBreak/>
              <w:t>single seat (as Trian sought at P&amp;G) to a full competing slate (as Starboard nominated at Darden), a choice materially affected by the universal proxy card mechanics discussed in Part VII, section 7.6.</w:t>
            </w:r>
          </w:p>
        </w:tc>
      </w:tr>
      <w:tr w:rsidR="000A2EB2" w14:paraId="6952AA7C" w14:textId="77777777">
        <w:tblPrEx>
          <w:tblCellMar>
            <w:top w:w="0" w:type="dxa"/>
            <w:bottom w:w="0" w:type="dxa"/>
          </w:tblCellMar>
        </w:tblPrEx>
        <w:tc>
          <w:tcPr>
            <w:tcW w:w="4860" w:type="dxa"/>
          </w:tcPr>
          <w:p w14:paraId="10A2BECE" w14:textId="77777777" w:rsidR="000A2EB2" w:rsidRDefault="00000000">
            <w:r>
              <w:lastRenderedPageBreak/>
              <w:t>6. Settlement negotiation</w:t>
            </w:r>
          </w:p>
        </w:tc>
        <w:tc>
          <w:tcPr>
            <w:tcW w:w="4860" w:type="dxa"/>
          </w:tcPr>
          <w:p w14:paraId="4E7E9623" w14:textId="77777777" w:rsidR="000A2EB2" w:rsidRDefault="00000000">
            <w:r>
              <w:t>The large majority of campaigns are resolved at this stage through a negotiated settlement, typically involving one to three board seats, a standstill agreement, and specific commitments on capital allocation or strategic review, reflecting the cost-driven logic of Gantchev (2013) discussed throughout Parts I, II, and VII.</w:t>
            </w:r>
          </w:p>
        </w:tc>
      </w:tr>
      <w:tr w:rsidR="000A2EB2" w14:paraId="16BE7250" w14:textId="77777777">
        <w:tblPrEx>
          <w:tblCellMar>
            <w:top w:w="0" w:type="dxa"/>
            <w:bottom w:w="0" w:type="dxa"/>
          </w:tblCellMar>
        </w:tblPrEx>
        <w:tc>
          <w:tcPr>
            <w:tcW w:w="4860" w:type="dxa"/>
          </w:tcPr>
          <w:p w14:paraId="236334DC" w14:textId="77777777" w:rsidR="000A2EB2" w:rsidRDefault="00000000">
            <w:r>
              <w:t>7. Proxy fight / shareholder vote</w:t>
            </w:r>
          </w:p>
        </w:tc>
        <w:tc>
          <w:tcPr>
            <w:tcW w:w="4860" w:type="dxa"/>
          </w:tcPr>
          <w:p w14:paraId="2FEF9F49" w14:textId="77777777" w:rsidR="000A2EB2" w:rsidRDefault="00000000">
            <w:r>
              <w:t>If settlement fails, the contest proceeds to a full vote at the annual (or a specially called) meeting, decided heavily by ISS and Glass Lewis recommendations and by the votes of the largest index-fund shareholders, as illustrated vividly by the Engine No. 1/ExxonMobil case (8.8).</w:t>
            </w:r>
          </w:p>
        </w:tc>
      </w:tr>
      <w:tr w:rsidR="000A2EB2" w14:paraId="528CC533" w14:textId="77777777">
        <w:tblPrEx>
          <w:tblCellMar>
            <w:top w:w="0" w:type="dxa"/>
            <w:bottom w:w="0" w:type="dxa"/>
          </w:tblCellMar>
        </w:tblPrEx>
        <w:tc>
          <w:tcPr>
            <w:tcW w:w="4860" w:type="dxa"/>
          </w:tcPr>
          <w:p w14:paraId="233422C8" w14:textId="77777777" w:rsidR="000A2EB2" w:rsidRDefault="00000000">
            <w:r>
              <w:t>8. Post-contest implementation / exit</w:t>
            </w:r>
          </w:p>
        </w:tc>
        <w:tc>
          <w:tcPr>
            <w:tcW w:w="4860" w:type="dxa"/>
          </w:tcPr>
          <w:p w14:paraId="22272395" w14:textId="77777777" w:rsidR="000A2EB2" w:rsidRDefault="00000000">
            <w:r>
              <w:t>Following either a settlement or a contested win, the activist (if it obtained board representation) participates in implementing its thesis over a multi-year holding period before eventually exiting the position, sometimes profitably (Third Point/Yahoo, Ackman/Canadian Pacific) and sometimes not (Trian/Disney, which involved no board win at all, or Ackman/Herbalife's costly short-side failure).</w:t>
            </w:r>
          </w:p>
        </w:tc>
      </w:tr>
    </w:tbl>
    <w:p w14:paraId="7D760699" w14:textId="77777777" w:rsidR="000A2EB2" w:rsidRDefault="000A2EB2"/>
    <w:p w14:paraId="33E809F4" w14:textId="77777777" w:rsidR="000A2EB2" w:rsidRDefault="00000000">
      <w:pPr>
        <w:jc w:val="center"/>
      </w:pPr>
      <w:r>
        <w:rPr>
          <w:noProof/>
        </w:rPr>
        <w:drawing>
          <wp:inline distT="0" distB="0" distL="0" distR="0" wp14:anchorId="116EEBC7" wp14:editId="6757EF1B">
            <wp:extent cx="5486400" cy="292608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defense.png"/>
                    <pic:cNvPicPr/>
                  </pic:nvPicPr>
                  <pic:blipFill>
                    <a:blip r:embed="rId10"/>
                    <a:stretch>
                      <a:fillRect/>
                    </a:stretch>
                  </pic:blipFill>
                  <pic:spPr>
                    <a:xfrm>
                      <a:off x="0" y="0"/>
                      <a:ext cx="5486400" cy="2926080"/>
                    </a:xfrm>
                    <a:prstGeom prst="rect">
                      <a:avLst/>
                    </a:prstGeom>
                  </pic:spPr>
                </pic:pic>
              </a:graphicData>
            </a:graphic>
          </wp:inline>
        </w:drawing>
      </w:r>
    </w:p>
    <w:p w14:paraId="67D29E8B" w14:textId="77777777" w:rsidR="000A2EB2" w:rsidRDefault="00000000">
      <w:pPr>
        <w:jc w:val="center"/>
      </w:pPr>
      <w:r>
        <w:rPr>
          <w:i/>
          <w:sz w:val="19"/>
        </w:rPr>
        <w:lastRenderedPageBreak/>
        <w:t>Figure C. Six common defense tactics used against shareholder activism, ranging from formal legal devices (poison pills, staggered boards) to the structural and relational defenses -- dual-class shares, cross-shareholdings, and friendly government/family relationships -- most relevant to Koc, Sabanci, and THY.</w:t>
      </w:r>
    </w:p>
    <w:p w14:paraId="16193096" w14:textId="77777777" w:rsidR="000A2EB2" w:rsidRDefault="00000000">
      <w:pPr>
        <w:pStyle w:val="Heading2"/>
      </w:pPr>
      <w:r>
        <w:t>10.3 Expanded Defense-Tactics Comparison Table</w:t>
      </w:r>
    </w:p>
    <w:tbl>
      <w:tblPr>
        <w:tblW w:w="9720" w:type="dxa"/>
        <w:tblLayout w:type="fixed"/>
        <w:tblCellMar>
          <w:left w:w="10" w:type="dxa"/>
          <w:right w:w="10" w:type="dxa"/>
        </w:tblCellMar>
        <w:tblLook w:val="04A0" w:firstRow="1" w:lastRow="0" w:firstColumn="1" w:lastColumn="0" w:noHBand="0" w:noVBand="1"/>
      </w:tblPr>
      <w:tblGrid>
        <w:gridCol w:w="3240"/>
        <w:gridCol w:w="3240"/>
        <w:gridCol w:w="3240"/>
      </w:tblGrid>
      <w:tr w:rsidR="000A2EB2" w14:paraId="4A99AD18" w14:textId="77777777">
        <w:tblPrEx>
          <w:tblCellMar>
            <w:top w:w="0" w:type="dxa"/>
            <w:bottom w:w="0" w:type="dxa"/>
          </w:tblCellMar>
        </w:tblPrEx>
        <w:tc>
          <w:tcPr>
            <w:tcW w:w="3240" w:type="dxa"/>
            <w:shd w:val="clear" w:color="auto" w:fill="DCE6F1"/>
          </w:tcPr>
          <w:p w14:paraId="5F69A828" w14:textId="77777777" w:rsidR="000A2EB2" w:rsidRDefault="00000000">
            <w:r>
              <w:rPr>
                <w:b/>
              </w:rPr>
              <w:t>Defense Tactic</w:t>
            </w:r>
          </w:p>
        </w:tc>
        <w:tc>
          <w:tcPr>
            <w:tcW w:w="3240" w:type="dxa"/>
            <w:shd w:val="clear" w:color="auto" w:fill="DCE6F1"/>
          </w:tcPr>
          <w:p w14:paraId="7364F32D" w14:textId="77777777" w:rsidR="000A2EB2" w:rsidRDefault="00000000">
            <w:r>
              <w:rPr>
                <w:b/>
              </w:rPr>
              <w:t>Mechanism</w:t>
            </w:r>
          </w:p>
        </w:tc>
        <w:tc>
          <w:tcPr>
            <w:tcW w:w="3240" w:type="dxa"/>
            <w:shd w:val="clear" w:color="auto" w:fill="DCE6F1"/>
          </w:tcPr>
          <w:p w14:paraId="02D1EDBA" w14:textId="77777777" w:rsidR="000A2EB2" w:rsidRDefault="00000000">
            <w:r>
              <w:rPr>
                <w:b/>
              </w:rPr>
              <w:t>Effectiveness Notes</w:t>
            </w:r>
          </w:p>
        </w:tc>
      </w:tr>
      <w:tr w:rsidR="000A2EB2" w14:paraId="1EBF5C2C" w14:textId="77777777">
        <w:tblPrEx>
          <w:tblCellMar>
            <w:top w:w="0" w:type="dxa"/>
            <w:bottom w:w="0" w:type="dxa"/>
          </w:tblCellMar>
        </w:tblPrEx>
        <w:tc>
          <w:tcPr>
            <w:tcW w:w="3240" w:type="dxa"/>
          </w:tcPr>
          <w:p w14:paraId="0492583A" w14:textId="77777777" w:rsidR="000A2EB2" w:rsidRDefault="00000000">
            <w:r>
              <w:t>Poison pill (shareholder rights plan)</w:t>
            </w:r>
          </w:p>
        </w:tc>
        <w:tc>
          <w:tcPr>
            <w:tcW w:w="3240" w:type="dxa"/>
          </w:tcPr>
          <w:p w14:paraId="7D4F5FC4" w14:textId="77777777" w:rsidR="000A2EB2" w:rsidRDefault="00000000">
            <w:r>
              <w:t>Triggering shareholder's stake is diluted once an ownership threshold (commonly 10%-20%) is crossed, via flip-in and flip-over mechanics (Part VII, section 7.4)</w:t>
            </w:r>
          </w:p>
        </w:tc>
        <w:tc>
          <w:tcPr>
            <w:tcW w:w="3240" w:type="dxa"/>
          </w:tcPr>
          <w:p w14:paraId="6919D2F8" w14:textId="77777777" w:rsidR="000A2EB2" w:rsidRDefault="00000000">
            <w:r>
              <w:t>Validated by Moran v. Household International (Del. 1985); Malatesta &amp; Walkling (1988) find average negative abnormal returns on adoption, especially absent sunset/ratification features; highly effective at buying time but does not foreclose a determined proxy contest or non-coercive all-cash bid</w:t>
            </w:r>
          </w:p>
        </w:tc>
      </w:tr>
      <w:tr w:rsidR="000A2EB2" w14:paraId="3B9DEFEE" w14:textId="77777777">
        <w:tblPrEx>
          <w:tblCellMar>
            <w:top w:w="0" w:type="dxa"/>
            <w:bottom w:w="0" w:type="dxa"/>
          </w:tblCellMar>
        </w:tblPrEx>
        <w:tc>
          <w:tcPr>
            <w:tcW w:w="3240" w:type="dxa"/>
          </w:tcPr>
          <w:p w14:paraId="2E3FC2ED" w14:textId="77777777" w:rsidR="000A2EB2" w:rsidRDefault="00000000">
            <w:r>
              <w:t>Staggered (classified) board</w:t>
            </w:r>
          </w:p>
        </w:tc>
        <w:tc>
          <w:tcPr>
            <w:tcW w:w="3240" w:type="dxa"/>
          </w:tcPr>
          <w:p w14:paraId="5F25C7C0" w14:textId="77777777" w:rsidR="000A2EB2" w:rsidRDefault="00000000">
            <w:r>
              <w:t>Only about one-third of directors face election annually; a dissident cannot flip board control in a single annual meeting (Part VII, section 7.5)</w:t>
            </w:r>
          </w:p>
        </w:tc>
        <w:tc>
          <w:tcPr>
            <w:tcW w:w="3240" w:type="dxa"/>
          </w:tcPr>
          <w:p w14:paraId="476CFFCB" w14:textId="77777777" w:rsidR="000A2EB2" w:rsidRDefault="00000000">
            <w:r>
              <w:t>Bebchuk, Coates &amp; Subramanian (2002): roughly doubles deterrence odds; requires the activist to win multiple consecutive election cycles (2-3+ years) for outright control; increasingly rare among large-cap firms after 2010s declassification campaigns</w:t>
            </w:r>
          </w:p>
        </w:tc>
      </w:tr>
      <w:tr w:rsidR="000A2EB2" w14:paraId="4C25FD52" w14:textId="77777777">
        <w:tblPrEx>
          <w:tblCellMar>
            <w:top w:w="0" w:type="dxa"/>
            <w:bottom w:w="0" w:type="dxa"/>
          </w:tblCellMar>
        </w:tblPrEx>
        <w:tc>
          <w:tcPr>
            <w:tcW w:w="3240" w:type="dxa"/>
          </w:tcPr>
          <w:p w14:paraId="350A477E" w14:textId="77777777" w:rsidR="000A2EB2" w:rsidRDefault="00000000">
            <w:r>
              <w:t>Supermajority voting provisions</w:t>
            </w:r>
          </w:p>
        </w:tc>
        <w:tc>
          <w:tcPr>
            <w:tcW w:w="3240" w:type="dxa"/>
          </w:tcPr>
          <w:p w14:paraId="666571EE" w14:textId="77777777" w:rsidR="000A2EB2" w:rsidRDefault="00000000">
            <w:r>
              <w:t>Requires a supermajority (commonly 66.67% or 80%) shareholder vote to approve charter amendments, mergers, or removal of directors, rather than a simple majority</w:t>
            </w:r>
          </w:p>
        </w:tc>
        <w:tc>
          <w:tcPr>
            <w:tcW w:w="3240" w:type="dxa"/>
          </w:tcPr>
          <w:p w14:paraId="5CD0AA66" w14:textId="77777777" w:rsidR="000A2EB2" w:rsidRDefault="00000000">
            <w:r>
              <w:t>Raises the coalition-building cost for any activist seeking to change fundamental governance provisions (including de-staggering a board); frequently paired with a staggered board to reinforce its durability; increasingly disfavored by ISS/Glass Lewis governance-quality scoring, which pressures boards to remove or sunset these provisions over time</w:t>
            </w:r>
          </w:p>
        </w:tc>
      </w:tr>
      <w:tr w:rsidR="000A2EB2" w14:paraId="024E92F4" w14:textId="77777777">
        <w:tblPrEx>
          <w:tblCellMar>
            <w:top w:w="0" w:type="dxa"/>
            <w:bottom w:w="0" w:type="dxa"/>
          </w:tblCellMar>
        </w:tblPrEx>
        <w:tc>
          <w:tcPr>
            <w:tcW w:w="3240" w:type="dxa"/>
          </w:tcPr>
          <w:p w14:paraId="68740CB3" w14:textId="77777777" w:rsidR="000A2EB2" w:rsidRDefault="00000000">
            <w:r>
              <w:t>Dual-class stock</w:t>
            </w:r>
          </w:p>
        </w:tc>
        <w:tc>
          <w:tcPr>
            <w:tcW w:w="3240" w:type="dxa"/>
          </w:tcPr>
          <w:p w14:paraId="47182E08" w14:textId="77777777" w:rsidR="000A2EB2" w:rsidRDefault="00000000">
            <w:r>
              <w:t>A second class of shares carries superior (often 10:1 or, as at Koç Holding, 2:1) voting rights, typically held by founders, family, or insiders, decoupling voting control from economic (cash-flow) ownership</w:t>
            </w:r>
          </w:p>
        </w:tc>
        <w:tc>
          <w:tcPr>
            <w:tcW w:w="3240" w:type="dxa"/>
          </w:tcPr>
          <w:p w14:paraId="05AABE2E" w14:textId="77777777" w:rsidR="000A2EB2" w:rsidRDefault="00000000">
            <w:r w:rsidRPr="00FC0D99">
              <w:rPr>
                <w:lang w:val="pt-PT"/>
              </w:rPr>
              <w:t xml:space="preserve">Per La Porta et al. </w:t>
            </w:r>
            <w:r>
              <w:t>(1999) and the Koç Holding case (Part VI, section 6.1; Part IX, section 9.1), this is the single most durable defense against any activist board-seat contest, since it can make a dissident majority mathematically unattainable even with full free-</w:t>
            </w:r>
            <w:r>
              <w:lastRenderedPageBreak/>
              <w:t>float accumulation, regardless of proxy-advisor recommendations or the substantive merit of the activist's thesis</w:t>
            </w:r>
          </w:p>
        </w:tc>
      </w:tr>
    </w:tbl>
    <w:p w14:paraId="1B683C83" w14:textId="77777777" w:rsidR="000A2EB2" w:rsidRDefault="000A2EB2"/>
    <w:p w14:paraId="08E624F8" w14:textId="77777777" w:rsidR="000A2EB2" w:rsidRDefault="00000000">
      <w:r>
        <w:br w:type="page"/>
      </w:r>
    </w:p>
    <w:p w14:paraId="0024EB21" w14:textId="77777777" w:rsidR="000A2EB2" w:rsidRDefault="00000000">
      <w:pPr>
        <w:pStyle w:val="Heading1"/>
      </w:pPr>
      <w:r>
        <w:lastRenderedPageBreak/>
        <w:t>Part XI -- Additional Discussion Questions</w:t>
      </w:r>
    </w:p>
    <w:p w14:paraId="235D0AD6" w14:textId="77777777" w:rsidR="000A2EB2" w:rsidRDefault="00000000">
      <w:r>
        <w:t>The following questions supplement, and should be read alongside, the original Discussion Questions at the end of Parts I-VI above; none of the original questions are superseded or removed.</w:t>
      </w:r>
    </w:p>
    <w:p w14:paraId="43756FE9" w14:textId="77777777" w:rsidR="000A2EB2" w:rsidRDefault="00000000">
      <w:r>
        <w:t>1. Using the worked numerical example in Part VII, section 7.1, calculate the break-even ownership stake for a hypothetical company where the campaign costs $15 million and the value-creation thesis, if successful, would raise a $4 billion market capitalization by 8%. At what ownership percentage does monitoring become individually rational for a single activist, and how does this change your view of why activist funds specifically target companies where their planned stake will exceed that threshold?</w:t>
      </w:r>
    </w:p>
    <w:p w14:paraId="0B532067" w14:textId="77777777" w:rsidR="000A2EB2" w:rsidRDefault="00000000">
      <w:r>
        <w:t>2. Kahan &amp; Rock (2007) argue that hedge funds solved a supply-side problem (who is structurally capable of bearing monitoring costs) rather than proving that every campaign is value-creating. How would you design an empirical test to distinguish a hedge fund campaign motivated by genuine long-run value creation from one motivated primarily by the activist's own short-term entry-price appreciation?</w:t>
      </w:r>
    </w:p>
    <w:p w14:paraId="0F0ED255" w14:textId="77777777" w:rsidR="000A2EB2" w:rsidRDefault="00000000">
      <w:r>
        <w:t>3. Coffee &amp; Palia's (2016) "wolf pack" framework describes coordination among funds that deliberately avoid Section 13(d) group disclosure. Is this regulatory avoidance a legitimate private solution to a collective-action problem, or does it create an information asymmetry serious enough to warrant tighter disclosure rules? Defend your position with reference to a target board's perspective.</w:t>
      </w:r>
    </w:p>
    <w:p w14:paraId="46A7C239" w14:textId="77777777" w:rsidR="000A2EB2" w:rsidRDefault="00000000">
      <w:r>
        <w:t>4. Moran v. Household International upheld a poison pill adopted with no specific pending offer, conditioned on the pill remaining surmountable through a proxy contest or non-coercive bid. Is a modern short-duration "activist-response" pill, adopted within days of a specific 13D filing, still consistent with the Unocal/Moran reasonableness-in-relation-to-the-threat standard, or does it cross into a preclusive device Delaware courts would strike down?</w:t>
      </w:r>
    </w:p>
    <w:p w14:paraId="2CD2D927" w14:textId="77777777" w:rsidR="000A2EB2" w:rsidRDefault="00000000">
      <w:r>
        <w:t>5. Compare the Starboard/Darden case (8.3), where a full board replacement was possible in a single vote, with a hypothetical identical campaign against a staggered-board company. Using Bebchuk, Coates &amp; Subramanian's (2002) findings, estimate qualitatively how many additional years and election cycles Starboard would have needed, and discuss whether this delay would have changed Starboard's decision to run a full slate at all.</w:t>
      </w:r>
    </w:p>
    <w:p w14:paraId="2FE17BD8" w14:textId="77777777" w:rsidR="000A2EB2" w:rsidRDefault="00000000">
      <w:r>
        <w:t>6. The SEC's universal proxy card rule (effective for meetings after August 31, 2022) is argued in Part VII, section 7.6, to favor partial-slate activist strategies. Design a hypothetical partial-slate campaign (specify board size, number of dissident nominees, and the demand) and explain, mechanically, why a shareholder wishing a split-ticket outcome could achieve it more easily post-2022 than under the old dual-card system.</w:t>
      </w:r>
    </w:p>
    <w:p w14:paraId="7858DCAA" w14:textId="77777777" w:rsidR="000A2EB2" w:rsidRDefault="00000000">
      <w:r>
        <w:t>7. "Just vote no" campaigns avoid nearly all the cost structure Gantchev (2013) documents for full proxy contests, yet under a plurality voting standard they have no automatic legal effect. Under what conditions is a withhold-vote campaign nonetheless a rational, high-expected-value strategy for an activist, and under what conditions would it be a wasted, low-leverage gesture?</w:t>
      </w:r>
    </w:p>
    <w:p w14:paraId="041665BD" w14:textId="77777777" w:rsidR="000A2EB2" w:rsidRDefault="00000000">
      <w:r>
        <w:t>8. Engine No. 1 won three ExxonMobil board seats with a stake of roughly 0.02% of the company, by persuading BlackRock, Vanguard, and State Street to vote their existing passive holdings in its favor. Does this outcome validate or undermine Grossman &amp; Hart's (1980) free-rider logic as the explanation for why activism requires a concentrated stake? Explain your reasoning with reference to who actually bore the campaign's costs and who actually held the decisive votes.</w:t>
      </w:r>
    </w:p>
    <w:p w14:paraId="6A49C06D" w14:textId="77777777" w:rsidR="000A2EB2" w:rsidRDefault="00000000">
      <w:r>
        <w:lastRenderedPageBreak/>
        <w:t>9. Ackman's Herbalife short-activism campaign (case 8.6) sought to trigger a specific regulatory outcome (an FTC pyramid-scheme finding) that did not materialize as predicted, and the target's own buyback program helped defeat the short thesis over time. Is activist short-selling a legitimate extension of the same free-rider-solving logic that justifies long-side activism, or does it raise distinct concerns (e.g., incentives to spread pessimistic public claims) that long-side activism does not?</w:t>
      </w:r>
    </w:p>
    <w:p w14:paraId="2A67FB5A" w14:textId="77777777" w:rsidR="000A2EB2" w:rsidRDefault="00000000">
      <w:r>
        <w:t>10. Compare the P&amp;G (case 8.9) and Disney (case 8.10) outcomes for Nelson Peltz's Trian Partners. Both campaigns involved similar demands (board seats, cost discipline, succession-planning scrutiny) against very large, widely-held companies, yet one succeeded narrowly and the other failed decisively. What single factor do you consider most responsible for the divergent outcomes, and how would you test that hypothesis using data from other large-cap contests?</w:t>
      </w:r>
    </w:p>
    <w:p w14:paraId="722278CB" w14:textId="77777777" w:rsidR="000A2EB2" w:rsidRDefault="00000000">
      <w:r>
        <w:t>11. La Porta, Lopez-de-Silanes, Shleifer &amp; Vishny (1999) find that ownership concentration is systematically higher where legal minority-shareholder protection is weaker. Is Koç Holding's dual-class structure better explained as a rational response to weak Turkish minority protection (a La Porta-style story) or as independently chosen family entrenchment that happens to correlate with the broader Turkish legal environment? What data would help you distinguish the two explanations?</w:t>
      </w:r>
    </w:p>
    <w:p w14:paraId="2F81006E" w14:textId="77777777" w:rsidR="000A2EB2" w:rsidRDefault="00000000">
      <w:r>
        <w:t>12. Claessens, Djankov &amp; Lang (2000) find that a larger wedge between voting control and cash-flow ownership is associated with a systematic valuation discount in East Asian firms. If you were a minority shareholder in a pyramidal group exhibiting this wedge, what specific actions (short of an activist board-seat contest) could you realistically take to narrow that valuation discount over time?</w:t>
      </w:r>
    </w:p>
    <w:p w14:paraId="02FA3908" w14:textId="77777777" w:rsidR="000A2EB2" w:rsidRDefault="00000000">
      <w:r>
        <w:t>13. Part IX, section 9.4 identifies four remaining channels of pressure against family- or state-controlled conglomerates: minority-shareholder votes on related-party transactions, foreign free-float institutional pressure, credit-market/rating-agency discipline, and reputational/ESG-linked pressure through industry coalitions. Rank these four channels by realistic effectiveness for THY specifically, and justify your ranking with reference to THY's ownership structure (Part VI, section 6.3).</w:t>
      </w:r>
    </w:p>
    <w:p w14:paraId="546A9CCE" w14:textId="77777777" w:rsidR="000A2EB2" w:rsidRDefault="00000000">
      <w:r>
        <w:t>14. If Koç Holding's dual-class structure were eliminated (one share, one vote) while the family retained its current 63.4% economic ownership, would Koç Holding become activism-vulnerable in the sense documented in Parts I-III and VIII? Use the free-rider arithmetic from Part VII, section 7.1, to support your answer.</w:t>
      </w:r>
    </w:p>
    <w:p w14:paraId="190E6DD2" w14:textId="77777777" w:rsidR="000A2EB2" w:rsidRDefault="00000000">
      <w:r>
        <w:t>15. Design a hypothetical activist campaign against a mid-cap company with (a) a staggered board, (b) a supermajority charter-amendment provision, but (c) no dual-class stock and no controlling family shareholder. Using the defense-tactics table in Part X, section 10.3, explain which single change to this company's structure would most increase its activism vulnerability, and why.</w:t>
      </w:r>
    </w:p>
    <w:p w14:paraId="5997D9BE" w14:textId="77777777" w:rsidR="000A2EB2" w:rsidRDefault="00000000">
      <w:r>
        <w:br w:type="page"/>
      </w:r>
    </w:p>
    <w:p w14:paraId="318940AA" w14:textId="77777777" w:rsidR="000A2EB2" w:rsidRDefault="00000000">
      <w:pPr>
        <w:pStyle w:val="Heading1"/>
      </w:pPr>
      <w:r>
        <w:lastRenderedPageBreak/>
        <w:t>Part XII -- Expanded Reference List</w:t>
      </w:r>
    </w:p>
    <w:p w14:paraId="79829026" w14:textId="77777777" w:rsidR="000A2EB2" w:rsidRDefault="00000000">
      <w:r>
        <w:t>The following expanded reference list supplements, and should be read alongside, the original References section at the end of Parts I-VI above; none of the original references are removed or replaced. Entries are grouped by category for ease of use.</w:t>
      </w:r>
    </w:p>
    <w:p w14:paraId="20E0EC35" w14:textId="77777777" w:rsidR="000A2EB2" w:rsidRDefault="00000000">
      <w:pPr>
        <w:pStyle w:val="Heading2"/>
      </w:pPr>
      <w:r>
        <w:t>Additional Academic References</w:t>
      </w:r>
    </w:p>
    <w:p w14:paraId="6FD25E08" w14:textId="77777777" w:rsidR="000A2EB2" w:rsidRDefault="00000000">
      <w:r w:rsidRPr="00FC0D99">
        <w:rPr>
          <w:lang w:val="pt-PT"/>
        </w:rPr>
        <w:t xml:space="preserve">Bebchuk, L. A., Coates, J. C., &amp; Subramanian, G. (2002). </w:t>
      </w:r>
      <w:r>
        <w:t>The Powerful Antitakeover Force of Staggered Boards: Theory, Evidence, and Policy. Stanford Law Review, 54(5), 887-951.</w:t>
      </w:r>
    </w:p>
    <w:p w14:paraId="746E3C42" w14:textId="77777777" w:rsidR="000A2EB2" w:rsidRDefault="00000000">
      <w:r>
        <w:t>Brav, A., Jiang, W., Partnoy, F., &amp; Thomas, R. (2008). Hedge Fund Activism, Corporate Governance, and Firm Performance. Journal of Finance, 63(4), 1729-1775.</w:t>
      </w:r>
    </w:p>
    <w:p w14:paraId="440AAAC9" w14:textId="77777777" w:rsidR="000A2EB2" w:rsidRDefault="00000000">
      <w:r>
        <w:t>Claessens, S., Djankov, S., &amp; Lang, L. H. P. (2000). The Separation of Ownership and Control in East Asian Corporations. Journal of Financial Economics, 58(1-2), 81-112.</w:t>
      </w:r>
    </w:p>
    <w:p w14:paraId="6846AFC4" w14:textId="77777777" w:rsidR="000A2EB2" w:rsidRDefault="00000000">
      <w:r>
        <w:t>Coffee, J. C., Jr., &amp; Palia, D. (2016). The Wolf at the Door: The Impact of Hedge Fund Activism on Corporate Governance. Journal of Corporation Law, 41(3), 545-607.</w:t>
      </w:r>
    </w:p>
    <w:p w14:paraId="7AD1EEBB" w14:textId="77777777" w:rsidR="000A2EB2" w:rsidRDefault="00000000">
      <w:r>
        <w:t>Gantchev, N. (2013). The Costs of Shareholder Activism: Evidence from a Sequential Decision Model. Journal of Financial Economics, 107(3), 610-631.</w:t>
      </w:r>
    </w:p>
    <w:p w14:paraId="62C077CA" w14:textId="77777777" w:rsidR="000A2EB2" w:rsidRDefault="00000000">
      <w:r>
        <w:t>Grossman, S. J., &amp; Hart, O. D. (1980). Takeover Bids, the Free-Rider Problem, and the Theory of the Corporation. Bell Journal of Economics, 11(1), 42-64.</w:t>
      </w:r>
    </w:p>
    <w:p w14:paraId="0CC063F7" w14:textId="77777777" w:rsidR="000A2EB2" w:rsidRDefault="00000000">
      <w:r>
        <w:t>Kahan, M., &amp; Rock, E. B. (2007). Hedge Fund Activism, Corporate Governance, and Firm Performance. University of Pennsylvania Law Review, 155(5), 1021-1093.</w:t>
      </w:r>
    </w:p>
    <w:p w14:paraId="4BC7BD91" w14:textId="77777777" w:rsidR="000A2EB2" w:rsidRDefault="00000000">
      <w:r>
        <w:t>La Porta, R., Lopez-de-Silanes, F., Shleifer, A., &amp; Vishny, R. W. (1999). Corporate Ownership Around the World. Journal of Finance, 54(2), 471-517.</w:t>
      </w:r>
    </w:p>
    <w:p w14:paraId="48C03E6A" w14:textId="77777777" w:rsidR="000A2EB2" w:rsidRDefault="00000000">
      <w:r>
        <w:t>Malatesta, P. H., &amp; Walkling, R. A. (1988). Poison Pill Securities: Stockholder Wealth, Profitability, and Ownership Structure. Journal of Financial Economics, 20, 347-376.</w:t>
      </w:r>
    </w:p>
    <w:p w14:paraId="12274114" w14:textId="77777777" w:rsidR="000A2EB2" w:rsidRDefault="00000000">
      <w:r>
        <w:t>Bebchuk, L. A., Brav, A., &amp; Jiang, W. (2015). The Long-Term Effects of Hedge Fund Activism. Columbia Law Review, 115(5), 1085-1156.</w:t>
      </w:r>
    </w:p>
    <w:p w14:paraId="06F84435" w14:textId="77777777" w:rsidR="000A2EB2" w:rsidRDefault="00000000">
      <w:r>
        <w:t>Klein, A., &amp; Zur, E. (2009). Entrepreneurial Shareholder Activism: Hedge Funds and Other Private Investors. Journal of Finance, 64(1), 187-229.</w:t>
      </w:r>
    </w:p>
    <w:p w14:paraId="7D5D519C" w14:textId="77777777" w:rsidR="000A2EB2" w:rsidRDefault="00000000">
      <w:r>
        <w:t>Denes, M. R., Karpoff, J. M., &amp; McWilliams, V. B. (2017). Thirty Years of Shareholder Activism: A Survey of Empirical Research. Journal of Corporate Finance, 44, 405-424.</w:t>
      </w:r>
    </w:p>
    <w:p w14:paraId="0010BBE5" w14:textId="77777777" w:rsidR="000A2EB2" w:rsidRDefault="00000000">
      <w:r>
        <w:t>Coffee, J. C., Jr. (2016). Court Should Reject Efforts by SEC to Ease Up on Insider Trading Rules. Columbia Law and Economics Working Paper (adjacent commentary on activism disclosure reform).</w:t>
      </w:r>
    </w:p>
    <w:p w14:paraId="1D04FB2A" w14:textId="77777777" w:rsidR="000A2EB2" w:rsidRDefault="00000000">
      <w:r>
        <w:t>Karpoff, J. M. (2001). The Impact of Shareholder Activism on Target Companies: A Survey of Empirical Findings. Working Paper, University of Washington.</w:t>
      </w:r>
    </w:p>
    <w:p w14:paraId="63242BDC" w14:textId="77777777" w:rsidR="000A2EB2" w:rsidRDefault="00000000">
      <w:r>
        <w:t>Fos, V. (2017). The Disciplinary Effects of Proxy Contests. Management Science, 63(3), 655-671.</w:t>
      </w:r>
    </w:p>
    <w:p w14:paraId="7DB387D6" w14:textId="77777777" w:rsidR="000A2EB2" w:rsidRDefault="00000000">
      <w:r>
        <w:lastRenderedPageBreak/>
        <w:t>Jiang, W., Li, T., &amp; Mei, D. (2018). Influencing Control: Jawboning in Risk Arbitrage. Journal of Finance, 73(6), 2635-2675.</w:t>
      </w:r>
    </w:p>
    <w:p w14:paraId="6B6F12AD" w14:textId="77777777" w:rsidR="000A2EB2" w:rsidRDefault="00000000">
      <w:pPr>
        <w:pStyle w:val="Heading2"/>
      </w:pPr>
      <w:r>
        <w:t>Additional Web / News / Regulatory Sources</w:t>
      </w:r>
    </w:p>
    <w:p w14:paraId="1F2C7375" w14:textId="77777777" w:rsidR="000A2EB2" w:rsidRDefault="00000000">
      <w:r>
        <w:t>Icahn Enterprises L.P. Press Releases and Open Letters to Apple Inc. Board of Directors (2013-2016). https://ir.icahnenterprises.com</w:t>
      </w:r>
    </w:p>
    <w:p w14:paraId="075605AE" w14:textId="77777777" w:rsidR="000A2EB2" w:rsidRDefault="00000000">
      <w:r>
        <w:t>Third Point LLC. Letters to Yahoo! Inc. Board of Directors (2011-2012). Reported contemporaneously by Reuters, The Wall Street Journal, and Bloomberg.</w:t>
      </w:r>
    </w:p>
    <w:p w14:paraId="0A24A434" w14:textId="77777777" w:rsidR="000A2EB2" w:rsidRDefault="00000000">
      <w:r>
        <w:t>Starboard Value LP. "A Vision to Restore Value at Darden Restaurants, Inc." (2014) [294-slide investor presentation].</w:t>
      </w:r>
    </w:p>
    <w:p w14:paraId="3ABC1703" w14:textId="77777777" w:rsidR="000A2EB2" w:rsidRDefault="00000000">
      <w:r>
        <w:t>Elliott Management Corporation. Letter to AT&amp;T Inc. Board of Directors, "It's Time for AT&amp;T to Focus" (September 2019). https://www.atntlp.com</w:t>
      </w:r>
    </w:p>
    <w:p w14:paraId="5CCBA9CD" w14:textId="77777777" w:rsidR="000A2EB2" w:rsidRDefault="00000000">
      <w:r>
        <w:t>Elliott Management Corporation and Silver Lake Partners. Joint Press Release with Twitter, Inc. (March 2020).</w:t>
      </w:r>
    </w:p>
    <w:p w14:paraId="0C3E03E7" w14:textId="77777777" w:rsidR="000A2EB2" w:rsidRDefault="00000000">
      <w:r>
        <w:t>Pershing Square Capital Management. "Who Wants to Be a Millionaire?" investor presentation on Herbalife Ltd. (December 2012, with subsequent updates through 2014).</w:t>
      </w:r>
    </w:p>
    <w:p w14:paraId="42287402" w14:textId="77777777" w:rsidR="000A2EB2" w:rsidRDefault="00000000">
      <w:r>
        <w:t>Pershing Square Capital Management. Investor Presentation on Canadian Pacific Railway Limited (2011-2012).</w:t>
      </w:r>
    </w:p>
    <w:p w14:paraId="24F74852" w14:textId="77777777" w:rsidR="000A2EB2" w:rsidRDefault="00000000">
      <w:r>
        <w:t>Engine No. 1. "Reenergize Exxon" campaign materials and investor presentation (December 2020-May 2021). https://reenergizeexxon.com</w:t>
      </w:r>
    </w:p>
    <w:p w14:paraId="3D9E323A" w14:textId="77777777" w:rsidR="000A2EB2" w:rsidRDefault="00000000">
      <w:r>
        <w:t>CNBC. "Activist firm Engine No. 1 claims third Exxon board seat." (June 2, 2021). https://www.cnbc.com/2021/06/02/activist-firm-engine-no-1-claims-third-exxon-board-seat-.html</w:t>
      </w:r>
    </w:p>
    <w:p w14:paraId="78F9BD00" w14:textId="77777777" w:rsidR="000A2EB2" w:rsidRDefault="00000000">
      <w:r>
        <w:t>Bloomberg. "Engine No. 1's CEO Discusses What Will Follow the Exxon Victory." (September 27, 2021).</w:t>
      </w:r>
    </w:p>
    <w:p w14:paraId="1FD4925A" w14:textId="77777777" w:rsidR="000A2EB2" w:rsidRDefault="00000000">
      <w:r>
        <w:t>Harvard Business School. "Engine No. 1: An Impact Investing Firm Engages with ExxonMobil" (Case Study). https://www.hbs.edu/faculty/Pages/item.aspx?num=61337</w:t>
      </w:r>
    </w:p>
    <w:p w14:paraId="38FF4928" w14:textId="77777777" w:rsidR="000A2EB2" w:rsidRDefault="00000000">
      <w:r>
        <w:t>Trian Fund Management. "Revitalize P&amp;G" investor presentation and related proxy materials (2017).</w:t>
      </w:r>
    </w:p>
    <w:p w14:paraId="34A661CB" w14:textId="77777777" w:rsidR="000A2EB2" w:rsidRDefault="00000000">
      <w:r>
        <w:t>Trian Fund Management. Letters and investor materials regarding The Walt Disney Company board nominations (2022-2024).</w:t>
      </w:r>
    </w:p>
    <w:p w14:paraId="6E026F8D" w14:textId="77777777" w:rsidR="000A2EB2" w:rsidRDefault="00000000">
      <w:r>
        <w:t>U.S. Securities and Exchange Commission. Universal Proxy, Release No. 34-93596 (November 17, 2021); effective January 31, 2022; applicable to meetings held after August 31, 2022. https://www.sec.gov/files/rules/final/2021/34-93596.pdf</w:t>
      </w:r>
    </w:p>
    <w:p w14:paraId="6E7E6703" w14:textId="77777777" w:rsidR="000A2EB2" w:rsidRDefault="00000000">
      <w:r>
        <w:t>U.S. Securities and Exchange Commission. "Fact Sheet: Universal Proxy Rules for Director Elections." https://www.sec.gov/files/34-93596-fact-sheet.pdf</w:t>
      </w:r>
    </w:p>
    <w:p w14:paraId="0242C26C" w14:textId="77777777" w:rsidR="000A2EB2" w:rsidRDefault="00000000">
      <w:r>
        <w:t>Federal Register. "Universal Proxy." (December 1, 2021). https://www.federalregister.gov/documents/2021/12/01/2021-25492/universal-proxy</w:t>
      </w:r>
    </w:p>
    <w:p w14:paraId="5629651A" w14:textId="77777777" w:rsidR="000A2EB2" w:rsidRDefault="00000000">
      <w:r>
        <w:lastRenderedPageBreak/>
        <w:t>Morrison Foerster. "U.S. SEC Adopts Universal Proxy Card Rules." (December 14, 2021). https://www.mofo.com/resources/insights/211214-us-sec-adopts-universal-proxy-card-rules</w:t>
      </w:r>
    </w:p>
    <w:p w14:paraId="0D18754F" w14:textId="77777777" w:rsidR="000A2EB2" w:rsidRDefault="00000000">
      <w:r>
        <w:t>Gibson Dunn. "SEC Adopts Rules Mandating Use of Universal Proxy Card." https://www.gibsondunn.com/sec-adopts-rules-mandating-use-of-universal-proxy-card/</w:t>
      </w:r>
    </w:p>
    <w:p w14:paraId="7E592087" w14:textId="77777777" w:rsidR="000A2EB2" w:rsidRDefault="00000000">
      <w:r>
        <w:t>Delaware Supreme Court. Moran v. Household International, Inc., 500 A.2d 1346 (Del. 1985).</w:t>
      </w:r>
    </w:p>
    <w:p w14:paraId="3C41CA2A" w14:textId="77777777" w:rsidR="000A2EB2" w:rsidRDefault="00000000">
      <w:r>
        <w:t>Delaware Supreme Court. Unocal Corp. v. Mesa Petroleum Co., 493 A.2d 946 (Del. 1985).</w:t>
      </w:r>
    </w:p>
    <w:p w14:paraId="42F56F1F" w14:textId="77777777" w:rsidR="000A2EB2" w:rsidRDefault="00000000">
      <w:r>
        <w:t>Lazard. (2026, July 1). Review of Shareholder Activism -- H1 2026. https://www.lazard.com/research-insights/review-of-shareholder-activism-h1-2026/</w:t>
      </w:r>
    </w:p>
    <w:p w14:paraId="5CB4C523" w14:textId="77777777" w:rsidR="000A2EB2" w:rsidRDefault="00000000">
      <w:r>
        <w:t>Barclays Investment Bank Shareholder Advisory Group. (2026). H1 2026 Review of Shareholder Activism. https://www.ib.barclays/content/dam/barclaysmicrosites/ibpublic/documents/our-insights/Q2_26_Activism/barclays_h1_2026_review_of_shareholder_activism.pdf</w:t>
      </w:r>
    </w:p>
    <w:p w14:paraId="1DFBB77E" w14:textId="77777777" w:rsidR="000A2EB2" w:rsidRDefault="00000000">
      <w:r>
        <w:t>Harvard Law School Forum on Corporate Governance. (2026, June 26). Shareholder Activism Approaching the 2026 Midpoint. https://corpgov.law.harvard.edu/2026/06/26/shareholder-activism-approaching-the-2026-midpoint-trends-lessons-and-what-to-expect-for-the-rest-of-the-season/</w:t>
      </w:r>
    </w:p>
    <w:p w14:paraId="5CBB2634" w14:textId="77777777" w:rsidR="000A2EB2" w:rsidRDefault="00000000">
      <w:r>
        <w:t>Diligent. (2026). Shareholder Activism Annual Review 2026. https://www.diligent.com/resources/research/shareholderactivism2026</w:t>
      </w:r>
    </w:p>
    <w:p w14:paraId="12B57308" w14:textId="77777777" w:rsidR="000A2EB2" w:rsidRDefault="00000000">
      <w:r>
        <w:t>Koç Holding Investor Relations. About Koç Holding -- Shareholder Structure. https://www.koc.com.tr/investor-relations/about-koc-holding</w:t>
      </w:r>
    </w:p>
    <w:p w14:paraId="560AC116" w14:textId="77777777" w:rsidR="000A2EB2" w:rsidRDefault="00000000">
      <w:r>
        <w:t>Sabancı Holding Investor Relations. Shareholder Structure (as of 06.05.2026). https://yatirimciiliskileri.sabanci.com/en/about-sabanci-holding/detail/Shareholder-Structure/127/424/0</w:t>
      </w:r>
    </w:p>
    <w:p w14:paraId="759E5842" w14:textId="77777777" w:rsidR="000A2EB2" w:rsidRDefault="00000000">
      <w:r>
        <w:t>Turkish Airlines (THY) Investor Relations. Share Details. https://investor.turkishairlines.com/en/share-details/share-details</w:t>
      </w:r>
    </w:p>
    <w:p w14:paraId="56ACD210" w14:textId="77777777" w:rsidR="000A2EB2" w:rsidRDefault="00000000">
      <w:r>
        <w:t>Reuters. "Ackman ends five-year, ill-fated bet against Herbalife." (February 2018).</w:t>
      </w:r>
    </w:p>
    <w:p w14:paraId="3F0393D8" w14:textId="77777777" w:rsidR="000A2EB2" w:rsidRDefault="00000000">
      <w:r>
        <w:t>The Wall Street Journal. "P&amp;G Wins Board Vote Over Peltz, but Barely." (December 2017 recount coverage).</w:t>
      </w:r>
    </w:p>
    <w:p w14:paraId="074B8BC1" w14:textId="77777777" w:rsidR="000A2EB2" w:rsidRDefault="00000000">
      <w:r>
        <w:t>CNBC. "Disney defeats Nelson Peltz's Trian and Blackwells in proxy fight." (April 3, 2024).</w:t>
      </w:r>
    </w:p>
    <w:p w14:paraId="783D2D1F" w14:textId="77777777" w:rsidR="000A2EB2" w:rsidRDefault="00000000">
      <w:r>
        <w:t>Reuters. "Starboard wins full control of Darden Restaurants board." (October 2014).</w:t>
      </w:r>
    </w:p>
    <w:p w14:paraId="5DF8FF70" w14:textId="77777777" w:rsidR="000A2EB2" w:rsidRDefault="00000000">
      <w:r>
        <w:t>Institutional Shareholder Services (ISS). Proxy voting guidelines and benchmark policy updates (2022-2026 editions), on universal proxy, majority voting, and withhold-vote recommendations.</w:t>
      </w:r>
    </w:p>
    <w:p w14:paraId="346C4B39" w14:textId="77777777" w:rsidR="000A2EB2" w:rsidRDefault="00000000">
      <w:r>
        <w:t>Glass, Lewis &amp; Co. Proxy Paper voting guidelines (2022-2026 editions).</w:t>
      </w:r>
    </w:p>
    <w:p w14:paraId="398E93E3" w14:textId="77777777" w:rsidR="000A2EB2" w:rsidRDefault="00000000">
      <w:r>
        <w:br w:type="page"/>
      </w:r>
    </w:p>
    <w:p w14:paraId="2DCC3E90" w14:textId="77777777" w:rsidR="000A2EB2" w:rsidRDefault="00000000">
      <w:pPr>
        <w:pStyle w:val="Heading1"/>
      </w:pPr>
      <w:r>
        <w:lastRenderedPageBreak/>
        <w:t>Part XIII -- Historical Evolution of Shareholder Activism: From Corporate Raiders to Modern Hedge Fund Activism</w:t>
      </w:r>
    </w:p>
    <w:p w14:paraId="0F88DEA6" w14:textId="77777777" w:rsidR="000A2EB2" w:rsidRDefault="00000000">
      <w:r>
        <w:t>Understanding contemporary hedge fund activism, as documented throughout Parts I-X above, requires situating it within a longer historical arc. The tactics, legal doctrines, and even many of the specific personalities involved in 2020s activism campaigns trace directly back to the corporate-control contests of the 1980s, and the intervening four decades saw activism evolve through several distinct phases, each shaped by changes in regulation, capital markets structure, and institutional-investor behavior.</w:t>
      </w:r>
    </w:p>
    <w:p w14:paraId="10D252F6" w14:textId="77777777" w:rsidR="000A2EB2" w:rsidRDefault="00000000">
      <w:pPr>
        <w:pStyle w:val="Heading2"/>
      </w:pPr>
      <w:r>
        <w:t>13.1 The 1980s Corporate Raider Era</w:t>
      </w:r>
    </w:p>
    <w:p w14:paraId="6FC553DF" w14:textId="77777777" w:rsidR="000A2EB2" w:rsidRDefault="00000000">
      <w:r>
        <w:t>Modern shareholder activism traces directly back to the hostile-takeover wave of the 1980s, made possible by the rise of the high-yield ("junk") bond market that Michael Milken pioneered at Drexel Burnham Lambert. That financing let relatively small acquirers bid for far larger targets.</w:t>
      </w:r>
    </w:p>
    <w:p w14:paraId="002F8E2C" w14:textId="77777777" w:rsidR="000A2EB2" w:rsidRDefault="00000000">
      <w:r>
        <w:t>Carl Icahn, T. Boone Pickens, Saul Steinberg, and Asher Edelman became household names as "corporate raiders," building large stakes in undervalued or poorly managed companies and then forcing change, selling back at a premium ("greenmail" -- a practice later killed off by 1986 tax penalties and the rise of the poison pill, designed specifically to block it), or completing full acquisitions outright. Icahn's 1985 hostile takeover of Trans World Airlines is the textbook case: a full change-of-control deal financed with high-yield debt, followed by aggressive asset sales and cost-cutting.</w:t>
      </w:r>
    </w:p>
    <w:p w14:paraId="3B6DE0B6" w14:textId="77777777" w:rsidR="000A2EB2" w:rsidRDefault="00000000">
      <w:r>
        <w:t>The critical difference from today: 1980s raiders sought outright control, not the minority-stake, governance-influence model that defines modern activism (Part I). The poison pill (section 7.4) and the staggered board (section 7.5) were built specifically to defend against control-seeking bids, and Delaware's foundational takeover cases -- Unocal v. Mesa Petroleum and Moran v. Household International, both 1985 -- were decided directly in response to this wave.</w:t>
      </w:r>
    </w:p>
    <w:p w14:paraId="01527ED7" w14:textId="77777777" w:rsidR="000A2EB2" w:rsidRDefault="00000000">
      <w:pPr>
        <w:pStyle w:val="Heading2"/>
      </w:pPr>
      <w:r>
        <w:t>13.2 The 1990s Institutional/Pension Fund Activism Era</w:t>
      </w:r>
    </w:p>
    <w:p w14:paraId="54D89C00" w14:textId="77777777" w:rsidR="000A2EB2" w:rsidRDefault="00000000">
      <w:r>
        <w:t>The 1990s saw a distinct second phase, in which large public and union pension funds (notably CalPERS, the California Public Employees' Retirement System, and CalSTRS, the California State Teachers' Retirement System) became the leading activist voice, but operating through a fundamentally lower-intensity toolkit than either the 1980s raiders or 2000s-2020s hedge funds: shareholder proposals (non-binding resolutions submitted for a shareholder vote under SEC Rule 14a-8), "just vote no" and withhold-vote campaigns against specific directors (Part VII, section 7.7), and published annual "focus lists" of underperforming companies targeted for engagement, rather than board nominations or proxy contests for control. This era's activism was constrained by the same fiduciary and diversification-mandate limits Kahan &amp; Rock (2007) identify (Part VII, section 7.2) as distinguishing pension funds from hedge funds: CalPERS could not concentrate anywhere near the ownership percentage a modern activist hedge fund holds in a single target, and its trustees, as fiduciaries for public-sector retirees, faced political and legal constraints on aggressive tactics that a private hedge fund manager does not face in the same way.</w:t>
      </w:r>
    </w:p>
    <w:p w14:paraId="6EEC5F06" w14:textId="77777777" w:rsidR="00FC0D99" w:rsidRDefault="00FC0D99">
      <w:pPr>
        <w:pStyle w:val="Heading2"/>
      </w:pPr>
    </w:p>
    <w:p w14:paraId="79FA26DD" w14:textId="77777777" w:rsidR="00FC0D99" w:rsidRDefault="00FC0D99">
      <w:pPr>
        <w:pStyle w:val="Heading2"/>
      </w:pPr>
    </w:p>
    <w:p w14:paraId="14E5980D" w14:textId="7D066914" w:rsidR="000A2EB2" w:rsidRDefault="00000000">
      <w:pPr>
        <w:pStyle w:val="Heading2"/>
      </w:pPr>
      <w:r>
        <w:lastRenderedPageBreak/>
        <w:t>13.3 The 2000s-2010s Hedge Fund Activism Era</w:t>
      </w:r>
    </w:p>
    <w:p w14:paraId="4706E6D1" w14:textId="77777777" w:rsidR="000A2EB2" w:rsidRDefault="00000000">
      <w:r>
        <w:t>The contemporary era, and the primary subject of Parts I-X and VII-VIII above, emerged in the early-to-mid 2000s as a distinct group of hedge funds -- many founded or led by veterans of the 1980s raider era or of traditional risk-arbitrage and event-driven investing (Carl Icahn's own Icahn Enterprises bridges both eras directly, having operated continuously since the 1980s) -- adopted the minority-stake, governance-influence model formalized academically by Brav, Jiang, Partnoy &amp; Thomas (2008) and Kahan &amp; Rock (2007). Daniel Loeb's Third Point (founded 1995, though its activist-letter reputation developed mainly in the 2000s), Bill Ackman's Pershing Square (founded 2004), Jeffrey Smith's Starboard Value (spun out of Ramius LLC in 2011), and Nelson Peltz's Trian Partners (founded 2005) all rose to prominence during this period, developing the now-standard campaign sequence (private engagement, public letter, board nomination, settlement or proxy fight) described in Part I, section 1.1. The 2008 financial crisis produced a temporary contraction in campaign volume as funds faced their own redemption pressure, but activism rebounded strongly from 2010 onward, with campaign volume, average target market capitalization, and total capital deployed all reaching new records through the mid-2010s -- the period during which most of the case vignettes in Part VIII (Icahn/Apple, Loeb/Yahoo, Starboard/Darden, Ackman/Herbalife, Ackman/Canadian Pacific) took place.</w:t>
      </w:r>
    </w:p>
    <w:p w14:paraId="6ED1AD53" w14:textId="77777777" w:rsidR="000A2EB2" w:rsidRDefault="00000000">
      <w:pPr>
        <w:pStyle w:val="Heading2"/>
      </w:pPr>
      <w:r>
        <w:t>13.4 The 2020s: ESG Activism, Wolf Packs, and the Universal Proxy Era</w:t>
      </w:r>
    </w:p>
    <w:p w14:paraId="7CF33B57" w14:textId="77777777" w:rsidR="000A2EB2" w:rsidRDefault="00000000">
      <w:r>
        <w:t>The most recent phase, from roughly 2020 to the present (2026), is defined by three developments each discussed in depth elsewhere in this reader: the emergence of ESG-linked activism as a distinct archetype (Part VII, section 7.8; Part VIII, section 8.8, the Engine No. 1/ExxonMobil case), increased academic and regulatory attention to coordinated "wolf pack" tactics (Part VII, section 7.3, Coffee &amp; Palia, 2016), and the SEC's 2022 universal proxy card rule (Part VII, section 7.6), which fundamentally altered proxy-contest mechanics for the first time since the modern activism era began. The H1 2026 data presented in Part II above -- record global campaign volume (Lazard's 184 campaigns), M&amp;A demands overtaking governance reform as the leading objective, and falling per-campaign board-seat win rates despite rising volume -- should be read as the most current data point in this longer historical arc: a market in which activist tactics have become sufficiently institutionalized and anticipated that target boards increasingly contest campaigns more aggressively (consistent with the universal-proxy-driven partial-slate dynamic discussed in Part VII, section 7.6) rather than settling automatically, even as the overall volume of campaigns continues to grow.</w:t>
      </w:r>
    </w:p>
    <w:p w14:paraId="1A3871EB" w14:textId="77777777" w:rsidR="000A2EB2" w:rsidRDefault="00000000">
      <w:r>
        <w:br w:type="page"/>
      </w:r>
    </w:p>
    <w:p w14:paraId="0276FAD9" w14:textId="77777777" w:rsidR="000A2EB2" w:rsidRDefault="00000000">
      <w:pPr>
        <w:pStyle w:val="Heading1"/>
      </w:pPr>
      <w:r>
        <w:lastRenderedPageBreak/>
        <w:t>Part XIV -- Activist Fund Profiles</w:t>
      </w:r>
    </w:p>
    <w:p w14:paraId="29820C55" w14:textId="77777777" w:rsidR="000A2EB2" w:rsidRDefault="00000000">
      <w:r>
        <w:t>This Part profiles six of the activist funds referenced throughout the case vignettes in Part VIII and the campaign table in Part X, summarizing each fund's founding, investment approach, and track record, to give students a fuller picture of the specific institutions driving the campaigns analyzed in this reader.</w:t>
      </w:r>
    </w:p>
    <w:p w14:paraId="7D1FE6E1" w14:textId="77777777" w:rsidR="000A2EB2" w:rsidRDefault="00000000">
      <w:pPr>
        <w:pStyle w:val="Heading2"/>
      </w:pPr>
      <w:r>
        <w:t>14.1 Elliott Investment Management</w:t>
      </w:r>
    </w:p>
    <w:p w14:paraId="4BE939F4" w14:textId="77777777" w:rsidR="000A2EB2" w:rsidRDefault="00000000">
      <w:r>
        <w:t>Elliott Investment Management (formerly Elliott Management Corporation) was founded by Paul Singer in 1977, making it one of the longest continuously operating hedge funds in the industry and, by assets under management (over $65 billion by the mid-2020s), one of the largest dedicated activist and event-driven funds globally. Elliott built its early reputation in distressed-debt and sovereign-debt litigation (most famously its multi-decade legal battle to collect on defaulted Argentine sovereign bonds) before expanding heavily into equity activism from the 2000s onward. Elliott's activist approach, illustrated by the AT&amp;T (case 8.4) and Twitter (case 8.5) vignettes above, is characterized by extremely detailed, well-researched public letters, a reputation for both large campaign scale (frequently taking stakes exceeding $1 billion, and in some cases several billion dollars, in very large-cap targets) and rapid escalation credibility (as in the three-week Twitter settlement timeline), and a broad target range spanning technology, telecommunications, industrials, and, as reflected in Part II's H1 2026 data (Elliott running the most campaigns of any single activist, six in H1 2026 alone, double its H1 2025 count), an increasingly high campaign volume across sectors simultaneously.</w:t>
      </w:r>
    </w:p>
    <w:p w14:paraId="4D6114FD" w14:textId="77777777" w:rsidR="000A2EB2" w:rsidRDefault="00000000">
      <w:pPr>
        <w:pStyle w:val="Heading2"/>
      </w:pPr>
      <w:r>
        <w:t>14.2 Starboard Value LP</w:t>
      </w:r>
    </w:p>
    <w:p w14:paraId="206F1577" w14:textId="77777777" w:rsidR="000A2EB2" w:rsidRDefault="00000000">
      <w:r>
        <w:t>Starboard Value was spun out of the multi-strategy fund Ramius LLC in 2011, led by Jeffrey Smith, and has developed a reputation, illustrated vividly by the Darden Restaurants (case 8.3) and Papa John's vignettes referenced in Part X, section 10.1, for unusually granular, operationally detailed public campaigns (the 294-slide Darden presentation being a canonical example) and for a willingness to pursue full or near-full board-slate contests rather than limiting nominations to one or two seats -- a maximalist tactical posture consistent with the "clean sweep" analysis in case 8.3. Starboard's sector focus has historically skewed toward consumer, restaurant, and technology companies where Smith and his team have argued that operational execution, rather than portfolio structure or capital allocation alone, is the primary source of underperformance, distinguishing Starboard's typical thesis from the more purely financial-engineering-oriented campaigns of some peer funds.</w:t>
      </w:r>
    </w:p>
    <w:p w14:paraId="60972AC1" w14:textId="77777777" w:rsidR="000A2EB2" w:rsidRDefault="00000000">
      <w:pPr>
        <w:pStyle w:val="Heading2"/>
      </w:pPr>
      <w:r>
        <w:t>14.3 Third Point LLC</w:t>
      </w:r>
    </w:p>
    <w:p w14:paraId="2250149E" w14:textId="77777777" w:rsidR="000A2EB2" w:rsidRDefault="00000000">
      <w:r>
        <w:t>Daniel Loeb founded Third Point in 1995, and the fund became known through the 2000s and 2010s for unusually pointed, occasionally combative public letters to target management (the Yahoo case, 8.2, and the CEO-credentials revelation being a particularly well-known example of Loeb's willingness to escalate quickly and publicly once a credible governance failure surfaced) alongside more conventional capital-allocation and portfolio-focus theses at companies including Sotheby's (Part X, section 10.1) and, more recently, Disney and Intel. Third Point's approach is frequently characterized as opportunistic in timing -- willing to escalate rapidly when a specific triggering event (such as the Yahoo CEO controversy) creates a sudden shift in the target board's negotiating position -- rather than following a uniformly paced private-engagement-then-escalation sequence in every campaign.</w:t>
      </w:r>
    </w:p>
    <w:p w14:paraId="7533B774" w14:textId="77777777" w:rsidR="000A2EB2" w:rsidRDefault="00000000">
      <w:pPr>
        <w:pStyle w:val="Heading2"/>
      </w:pPr>
      <w:r>
        <w:lastRenderedPageBreak/>
        <w:t>14.4 Trian Fund Management</w:t>
      </w:r>
    </w:p>
    <w:p w14:paraId="5C11D6F9" w14:textId="77777777" w:rsidR="000A2EB2" w:rsidRDefault="00000000">
      <w:r>
        <w:t>Nelson Peltz co-founded Trian Fund Management in 2005 (with Peter May and Edward Garden), building on Peltz's own long operating and investing career, including an earlier, more traditional leveraged-buyout and corporate-control career in the 1980s and 1990s (Peltz's Triarc/Triangle Industries vehicle completed several large LBOs and consolidations in the packaging and food sectors). Trian's contemporary activist approach, illustrated by the Procter &amp; Gamble (case 8.9) and Disney (case 8.10) vignettes, is distinguished by an emphasis on organizational-design and cost-discipline theses at very large, iconic consumer and media companies, typically seeking only one or a small number of board seats (rather than Starboard's full-slate approach) and frequently accompanied by detailed "white paper" style operating plans (the "Revitalize P&amp;G" presentation being the leading example) that lay out a specific alternative organizational and cost structure rather than focusing primarily on capital-return demands.</w:t>
      </w:r>
    </w:p>
    <w:p w14:paraId="3370F5C9" w14:textId="77777777" w:rsidR="000A2EB2" w:rsidRDefault="00000000">
      <w:pPr>
        <w:pStyle w:val="Heading2"/>
      </w:pPr>
      <w:r>
        <w:t>14.5 Icahn Enterprises</w:t>
      </w:r>
    </w:p>
    <w:p w14:paraId="0F91E601" w14:textId="77777777" w:rsidR="000A2EB2" w:rsidRDefault="00000000">
      <w:r>
        <w:t>Carl Icahn's activist career, uniquely among the funds profiled in this Part, spans the entire historical arc described in Part XIII above: Icahn was a leading 1980s corporate raider (the 1985 TWA hostile takeover being a defining example of that era), then transitioned his activities through Icahn Enterprises L.P. (a publicly traded holding company, itself an unusual structure among activist vehicles) into the modern minority-stake, governance-influence model from the 2000s onward, as illustrated by the Apple (case 8.1) and Herbalife (case 8.6, where Icahn took the opposing long position against Ackman's short) vignettes above, and by the Netflix and Occidental Petroleum campaigns referenced in Part X, section 10.1. Icahn's public persona (frequent television appearances, an active social-media presence used to publicize campaign positions directly to the market) has made him one of the most visible individual activists across the entire modern era, and his willingness to hold both extremely large single-name concentrated positions and to publicly feud with rival investors (as in the Ackman dispute) has made several of his campaigns as notable for their public spectacle as for their underlying financial thesis.</w:t>
      </w:r>
    </w:p>
    <w:p w14:paraId="6B3180DD" w14:textId="77777777" w:rsidR="000A2EB2" w:rsidRDefault="00000000">
      <w:pPr>
        <w:pStyle w:val="Heading2"/>
      </w:pPr>
      <w:r>
        <w:t>14.6 Engine No. 1</w:t>
      </w:r>
    </w:p>
    <w:p w14:paraId="65298995" w14:textId="77777777" w:rsidR="000A2EB2" w:rsidRDefault="00000000">
      <w:r>
        <w:t>Engine No. 1 is, by a wide margin, the youngest and smallest fund profiled in this Part, founded only in late 2020 by Christopher James with backing including a notable early investment from the family office of the founders of Robinhood Markets, and holding, at the time of its ExxonMobil campaign (case 8.8), only roughly $250 million in assets under management and a stake in ExxonMobil worth approximately $40 million -- a scale several orders of magnitude smaller than any other fund profiled in this Part. Engine No. 1's founding thesis is explicitly built around the idea that "impact" and financial return are not in tension: the fund's public materials frame its approach as identifying situations where a company's failure to manage long-term transition risk (climate risk being the paradigmatic, but not exclusive, example) is itself a source of financial underperformance that conventional shareholder engagement has failed to correct, and where a relatively small, catalytic stake, deployed with a rigorously financial (rather than purely values-based) framing, can mobilize the disproportionate voting power of large index-fund shareholders who already hold the position passively. The ExxonMobil campaign remains, as of 2026, Engine No. 1's single highest-profile campaign and the primary basis for its reputation and subsequent fundraising.</w:t>
      </w:r>
    </w:p>
    <w:p w14:paraId="058FF72B" w14:textId="77777777" w:rsidR="000A2EB2" w:rsidRDefault="00000000">
      <w:r>
        <w:br w:type="page"/>
      </w:r>
    </w:p>
    <w:p w14:paraId="7F09DE85" w14:textId="77777777" w:rsidR="000A2EB2" w:rsidRDefault="00000000">
      <w:pPr>
        <w:pStyle w:val="Heading1"/>
      </w:pPr>
      <w:r>
        <w:lastRenderedPageBreak/>
        <w:t>Part XV -- Regulatory and Disclosure Framework</w:t>
      </w:r>
    </w:p>
    <w:p w14:paraId="38AA9378" w14:textId="77777777" w:rsidR="000A2EB2" w:rsidRDefault="00000000">
      <w:r>
        <w:t>Every campaign vignette in Part VIII, and every mechanic described in Parts I, III, and VII, operates within a specific U.S. federal securities-disclosure framework governing beneficial ownership reporting. This Part sets out that framework in detail, including the 2023 SEC amendments that shortened key disclosure deadlines.</w:t>
      </w:r>
    </w:p>
    <w:p w14:paraId="02E845E1" w14:textId="77777777" w:rsidR="000A2EB2" w:rsidRDefault="00000000">
      <w:pPr>
        <w:pStyle w:val="Heading2"/>
      </w:pPr>
      <w:r>
        <w:t>15.1 Schedule 13D vs. Schedule 13G</w:t>
      </w:r>
    </w:p>
    <w:p w14:paraId="23CD6FB4" w14:textId="77777777" w:rsidR="000A2EB2" w:rsidRDefault="00000000">
      <w:r>
        <w:t>Section 13(d) of the Securities Exchange Act of 1934 requires any person or group acquiring beneficial ownership of more than 5% of a registered class of equity securities to file a disclosure report with the SEC. Two distinct schedules implement this requirement, and the choice between them is one of the most consequential decisions an activist fund makes at the outset of any campaign. Schedule 13D is the full disclosure form, required of any beneficial owner who holds the securities with an intent to influence control -- including, explicitly, an intent to engage in the kind of governance-influence activism described throughout this reader -- and requires disclosure of the filer's background, the source and amount of funds used for the purchase, and, critically, the filer's specific "purpose of the transaction," which must describe any plans or proposals relating to an extraordinary corporate transaction, a change in the board or management, a material change in capitalization or dividend policy, or any other material change in the issuer's business or corporate structure. A 13D filing is due within ten days of crossing the 5% threshold (a deadline the 2023 amendments, discussed in section 15.3 below, shortened further), and any material change to the filer's previously disclosed plans requires a prompt amendment (a "13D/A").</w:t>
      </w:r>
      <w:r>
        <w:br/>
      </w:r>
      <w:r>
        <w:br/>
        <w:t>Schedule 13G is a substantially abbreviated alternative available only to certain categories of filers: passive institutional investors (such as index funds and most conventional asset managers) who hold the securities without any intent to influence control, and who certify that the shares were acquired and are held in the ordinary course of business. A 13G filer faces a longer, less frequent filing cadence and does not need to disclose a "purpose of the transaction" narrative at all, reflecting the form's design for genuinely passive holders. The 13D/13G distinction is therefore the direct regulatory implementation of the theoretical divide, developed throughout this reader, between passive/diversified shareholders (who free-ride on monitoring per Grossman &amp; Hart, 1980, and typically file 13G) and concentrated, control-influencing activists (who file 13D and bear the monitoring cost, per the worked example in Part VII, section 7.1). An activist fund that initially files a 13G (for example, while still deciding whether to escalate to an activist campaign) must promptly switch to a 13D once it forms an intent to influence control -- a transition point that itself frequently signals to the market, once disclosed, that a passive stake is about to become an active campaign.</w:t>
      </w:r>
    </w:p>
    <w:p w14:paraId="1B431141" w14:textId="77777777" w:rsidR="000A2EB2" w:rsidRDefault="00000000">
      <w:pPr>
        <w:pStyle w:val="Heading2"/>
      </w:pPr>
      <w:r>
        <w:t>15.2 Beneficial Ownership, Derivatives, and "Wolf Pack" Disclosure Gaps</w:t>
      </w:r>
    </w:p>
    <w:p w14:paraId="76F9B251" w14:textId="77777777" w:rsidR="000A2EB2" w:rsidRDefault="00000000">
      <w:r>
        <w:t xml:space="preserve">The 5% beneficial-ownership threshold triggering Section 13(d) disclosure is calculated based on economic and voting exposure, but the precise treatment of derivative instruments (equity swaps, options, and other cash-settled instruments that provide economic exposure to a stock's price without direct share ownership or voting rights) has long been a source of regulatory ambiguity and a specific tool activists have used to build economic exposure before crossing the disclosure threshold on directly-held shares -- a practice sometimes called "stealth stake-building." This directly enables the wolf-pack coordination dynamic discussed in Part VII, section 7.3 (Coffee &amp; Palia, 2016): because Section 13(d)'s "group" definition requires an agreement to act together for the purpose of acquiring, holding, voting, or disposing of securities, several </w:t>
      </w:r>
      <w:r>
        <w:lastRenderedPageBreak/>
        <w:t>funds that merely communicate informally (without a formal agreement) about a shared view of an undervalued target, while each independently staying under the 5% threshold on directly-held shares, can avoid group-disclosure obligations entirely even while achieving much of the coordinated market impact of a formal group -- precisely the disclosure gap Coffee &amp; Palia identify as their central regulatory concern.</w:t>
      </w:r>
    </w:p>
    <w:p w14:paraId="643AC71C" w14:textId="77777777" w:rsidR="000A2EB2" w:rsidRDefault="00000000">
      <w:pPr>
        <w:pStyle w:val="Heading2"/>
      </w:pPr>
      <w:r>
        <w:t>15.3 The SEC's 2023 Beneficial Ownership Reporting Modernization</w:t>
      </w:r>
    </w:p>
    <w:p w14:paraId="3DF55669" w14:textId="77777777" w:rsidR="000A2EB2" w:rsidRDefault="00000000">
      <w:r>
        <w:t>In October 2023, the SEC adopted amendments (Release No. 34-98704) modernizing beneficial ownership reporting rules under Regulation 13D-G for the first time in decades, motivated substantially by concerns, consistent with the wolf-pack and stealth-accumulation issues discussed in section 15.2 above, that existing filing deadlines gave activists too long a window to build outsized positions before the market and target company became aware. The amendments shortened the Schedule 13D filing deadline from ten calendar days to five business days after crossing the 5% threshold, and required that any material change to a 13D be reported within two business days rather than "promptly" (a previously vaguer standard). The amendments also clarified, though did not fundamentally rewrite, the circumstances under which the use of cash-settled derivative securities gives rise to beneficial ownership for Section 13(d) purposes, providing somewhat greater clarity (though, by most practitioner accounts, not complete closure) of the stealth-accumulation and wolf-pack coordination gaps described above. The amendments took effect for Schedule 13D filings beginning in February 2024, meaning every case vignette in Part VIII that predates 2024 (all except the tail end of the Trian/Disney campaign, case 8.10) was conducted under the pre-amendment, ten-day disclosure regime -- a fact worth bearing in mind when comparing the stake-building timelines described across the ten vignettes.</w:t>
      </w:r>
    </w:p>
    <w:p w14:paraId="0800E0CD" w14:textId="77777777" w:rsidR="000A2EB2" w:rsidRDefault="00000000">
      <w:pPr>
        <w:pStyle w:val="Heading2"/>
      </w:pPr>
      <w:r>
        <w:t>15.4 Short-Swing Profit Rules (Section 16(b))</w:t>
      </w:r>
    </w:p>
    <w:p w14:paraId="24BCC61B" w14:textId="77777777" w:rsidR="000A2EB2" w:rsidRDefault="00000000">
      <w:r>
        <w:t>A separate but related constraint applies once an activist obtains board representation: Section 16(b) of the Exchange Act imposes a strict-liability disgorgement rule requiring any officer, director, or beneficial owner of more than 10% of a company's equity securities to disgorge to the company any profit realized from a purchase and sale (or sale and purchase) of the company's securities occurring within any six-month period, regardless of whether the trading was based on inside information or was otherwise entirely innocent. This rule has a direct and material effect on activist trading strategy once a campaign reaches the board-seat stage: an activist fund whose designee joins the target's board (or which itself crosses the 10% ownership threshold) must carefully time any further purchases or sales of the target's stock to avoid an inadvertent Section 16(b) violation, a consideration that becomes particularly salient during the multi-year post-settlement holding period discussed in Part X, section 10.2 (stage 8, "post-contest implementation/exit"), when an activist that has achieved its thesis may wish to begin reducing its position while a board seat is still held.</w:t>
      </w:r>
    </w:p>
    <w:p w14:paraId="7908C509" w14:textId="77777777" w:rsidR="000A2EB2" w:rsidRDefault="00000000">
      <w:r>
        <w:br w:type="page"/>
      </w:r>
    </w:p>
    <w:p w14:paraId="607BD232" w14:textId="77777777" w:rsidR="000A2EB2" w:rsidRDefault="00000000">
      <w:pPr>
        <w:pStyle w:val="Heading1"/>
      </w:pPr>
      <w:r>
        <w:lastRenderedPageBreak/>
        <w:t>Part XVI -- Comparative International Activism: United Kingdom, Continental Europe, and Japan</w:t>
      </w:r>
    </w:p>
    <w:p w14:paraId="093B9F9C" w14:textId="77777777" w:rsidR="000A2EB2" w:rsidRDefault="00000000">
      <w:r>
        <w:t>Part IX examined activism-resistance specifically in the Turkish family-holding-company context. This Part XVI broadens the comparative lens to three additional regions -- the United Kingdom, continental Europe, and Japan -- each of which presents a distinct hybrid between the U.S. dispersed-ownership model (Parts I-III, VII, VIII) and the concentrated family/pyramidal model discussed in Part IX, illustrating that activism-resistance and activism-vulnerability exist on a continuum defined by ownership structure and legal shareholder-protection regime, exactly as La Porta et al.'s (1999) framework (Part IX, section 9.1) predicts.</w:t>
      </w:r>
    </w:p>
    <w:p w14:paraId="4F66D62C" w14:textId="77777777" w:rsidR="000A2EB2" w:rsidRDefault="00000000">
      <w:pPr>
        <w:pStyle w:val="Heading2"/>
      </w:pPr>
      <w:r>
        <w:t>16.1 The United Kingdom: Dispersed Ownership, U.S.-Style Vulnerability</w:t>
      </w:r>
    </w:p>
    <w:p w14:paraId="37334029" w14:textId="77777777" w:rsidR="000A2EB2" w:rsidRDefault="00000000">
      <w:r>
        <w:t>The UK and the US are the two strong-minority-protection, dispersed-ownership jurisdictions La Porta et al. (1999) identify as the historical exception to the global controlling-shareholder norm. UK-listed companies face an activism dynamic close to the US model in Parts I-III and VIII -- Elliott Management has targeted BHP Billiton and Whitbread, and Cevian Capital and Third Point have both run UK campaigns.</w:t>
      </w:r>
    </w:p>
    <w:p w14:paraId="44312722" w14:textId="77777777" w:rsidR="000A2EB2" w:rsidRDefault="00000000">
      <w:r>
        <w:t>Lazard's H1 2026 data (Part II, section 2.2) puts the UK alongside Italy as one of the two most-targeted European markets, even as overall European campaign volume fell 23% year-over-year -- consistent with the UK remaining Europe's most US-like, and therefore most activism-exposed, major market.</w:t>
      </w:r>
    </w:p>
    <w:p w14:paraId="2CB70CB5" w14:textId="77777777" w:rsidR="000A2EB2" w:rsidRDefault="00000000">
      <w:r>
        <w:t>One UK rule matters directly for the free-rider analysis in section 7.1: the Takeover Code's mandatory bid rule requires anyone crossing 30% ownership to make a cash offer for all remaining shares at no less than the highest price paid in the prior twelve months. The US has no equivalent, and it meaningfully changes the stake-building calculus for any UK activist approaching that threshold.</w:t>
      </w:r>
    </w:p>
    <w:p w14:paraId="056F4EEE" w14:textId="77777777" w:rsidR="000A2EB2" w:rsidRDefault="00000000">
      <w:pPr>
        <w:pStyle w:val="Heading2"/>
      </w:pPr>
      <w:r>
        <w:t>16.2 Continental Europe: Pyramidal and Cross-Shareholding Structures</w:t>
      </w:r>
    </w:p>
    <w:p w14:paraId="1A33A567" w14:textId="77777777" w:rsidR="000A2EB2" w:rsidRDefault="00000000">
      <w:r>
        <w:t>Continental Europe sits closer to the concentrated end of the La Porta et al. (1999) spectrum than the UK, but the specific mechanism varies by country.</w:t>
      </w:r>
    </w:p>
    <w:p w14:paraId="4A5D28F3" w14:textId="77777777" w:rsidR="000A2EB2" w:rsidRDefault="00000000">
      <w:r>
        <w:t>France has long used double-voting-right shares for stock held continuously for at least two years, formalized by the 2014 Florange Law (companies must opt out affirmatively if they do not want this default). Like Koc Holding's dual-class shares (Part VI, section 6.1; Part IX, section 9.1), this concentrates voting control among long-term family or state holders well beyond their economic stake.</w:t>
      </w:r>
    </w:p>
    <w:p w14:paraId="72F8C585" w14:textId="77777777" w:rsidR="000A2EB2" w:rsidRDefault="00000000">
      <w:r>
        <w:t>Germany relies instead on cross-shareholdings among large industrial companies and banks -- the traditional "Deutschland AG" network -- plus codetermination rules that give employee representatives up to half the supervisory board seats at large companies. That halves what even a fully successful shareholder-side campaign can control: the shareholder-elected half of the supervisory board, at most.</w:t>
      </w:r>
    </w:p>
    <w:p w14:paraId="4CBE77F3" w14:textId="77777777" w:rsidR="000A2EB2" w:rsidRDefault="00000000">
      <w:r>
        <w:t>Italy, one of the two most-targeted European markets in Lazard's H1 2026 data (Part II, section 2.2), has pyramidal family-controlled groups much like the East Asian pattern Claessens, Djankov &amp; Lang (2000) document (Part IX, section 9.2) -- but with a higher free float and a more receptive regulatory environment for minority campaigns than Germany's codetermination model, which helps explain why Italy sees more activism despite its concentrated-ownership tradition.</w:t>
      </w:r>
    </w:p>
    <w:p w14:paraId="420C9033" w14:textId="77777777" w:rsidR="000A2EB2" w:rsidRDefault="00000000">
      <w:pPr>
        <w:pStyle w:val="Heading2"/>
      </w:pPr>
      <w:r>
        <w:lastRenderedPageBreak/>
        <w:t>16.3 Japan: The Fastest-Growing Activism Market</w:t>
      </w:r>
    </w:p>
    <w:p w14:paraId="7704D615" w14:textId="77777777" w:rsidR="000A2EB2" w:rsidRDefault="00000000">
      <w:r>
        <w:t>Japan is the biggest recent surprise in global activism. Lazard's H1 2026 data (Part II, section 2.2) records 52 campaigns in Japan in that half alone, up 53% year-over-year, making Japan the main driver of APAC's 65 total campaigns -- more than double the historical regional average.</w:t>
      </w:r>
    </w:p>
    <w:p w14:paraId="0F95D081" w14:textId="77777777" w:rsidR="000A2EB2" w:rsidRDefault="00000000">
      <w:r>
        <w:t>This did not happen overnight. Japan's 2014 Stewardship Code first encouraged institutional investors to engage actively with portfolio companies instead of passively holding shares, a real departure from the traditional keiretsu norm of stable, mutually supportive cross-shareholdings. The 2015 Corporate Governance Code added teeth: a minimum number of independent directors, and a requirement to justify any continued cross-shareholdings. The Tokyo Stock Exchange's 2023 push against companies trading below book value (price-to-book under 1.0x, which described a very large share of listed Japanese firms) forced disclosure of capital-efficiency plans and created an unusually large, well-defined target list for activist funds.</w:t>
      </w:r>
    </w:p>
    <w:p w14:paraId="016C957F" w14:textId="77777777" w:rsidR="000A2EB2" w:rsidRDefault="00000000">
      <w:r>
        <w:t>The result shows up directly in campaign type: Japanese activism skews toward balance-sheet efficiency -- unwinding excess cash, unwinding cross-shareholdings, buybacks -- rather than the M&amp;A and break-up demands that increasingly dominate U.S. campaigns (Part II, section 2.1). Lazard's finding that capital-allocation demands make up 39% of global campaigns is, in large part, a story about Japan.</w:t>
      </w:r>
    </w:p>
    <w:p w14:paraId="3DAFD831" w14:textId="77777777" w:rsidR="000A2EB2" w:rsidRDefault="00000000">
      <w:r>
        <w:br w:type="page"/>
      </w:r>
    </w:p>
    <w:p w14:paraId="1E05AC57" w14:textId="77777777" w:rsidR="000A2EB2" w:rsidRDefault="00000000">
      <w:pPr>
        <w:pStyle w:val="Heading1"/>
      </w:pPr>
      <w:r>
        <w:lastRenderedPageBreak/>
        <w:t>Part XVII -- Glossary of Key Terms</w:t>
      </w:r>
    </w:p>
    <w:p w14:paraId="5AB1510F" w14:textId="77777777" w:rsidR="000A2EB2" w:rsidRDefault="00000000">
      <w:r>
        <w:t>This glossary consolidates key terms used throughout the reader, with cross-references to the Part and section in which each term is developed in full.</w:t>
      </w:r>
    </w:p>
    <w:p w14:paraId="5F7F82EA" w14:textId="77777777" w:rsidR="000A2EB2" w:rsidRDefault="00000000">
      <w:r>
        <w:rPr>
          <w:b/>
        </w:rPr>
        <w:t xml:space="preserve">Activist hedge fund: </w:t>
      </w:r>
      <w:r>
        <w:t>A specialized investment fund that takes concentrated minority equity stakes in public companies and uses governance tools -- public letters, board nominations, proxy contests -- rather than control acquisition to force strategic, operational, or capital-allocation change. See Part I, section 1.1; Part VII, section 7.2 (Kahan &amp; Rock, 2007).</w:t>
      </w:r>
    </w:p>
    <w:p w14:paraId="39CE3C60" w14:textId="77777777" w:rsidR="000A2EB2" w:rsidRDefault="00000000">
      <w:r>
        <w:rPr>
          <w:b/>
        </w:rPr>
        <w:t xml:space="preserve">Advance notice bylaw: </w:t>
      </w:r>
      <w:r>
        <w:t>A corporate bylaw requiring shareholders intending to nominate director candidates to provide detailed notice, typically 90-120 days before the annual meeting, along with extensive disclosure of the nominee's and nominating shareholder's economic interests. See Part IV, section 4.3.</w:t>
      </w:r>
    </w:p>
    <w:p w14:paraId="37EF01E5" w14:textId="77777777" w:rsidR="000A2EB2" w:rsidRDefault="00000000">
      <w:r>
        <w:rPr>
          <w:b/>
        </w:rPr>
        <w:t xml:space="preserve">Beneficial ownership: </w:t>
      </w:r>
      <w:r>
        <w:t>Economic and/or voting exposure to a security, which may arise through direct share ownership, derivative instruments, or coordinated group action, and which triggers Schedule 13D/13G disclosure obligations once it exceeds 5% of a class of registered equity securities. See Part XV, sections 15.1-15.2.</w:t>
      </w:r>
    </w:p>
    <w:p w14:paraId="672891EB" w14:textId="77777777" w:rsidR="000A2EB2" w:rsidRDefault="00000000">
      <w:r>
        <w:rPr>
          <w:b/>
        </w:rPr>
        <w:t xml:space="preserve">Break-up thesis / sum-of-the-parts valuation: </w:t>
      </w:r>
      <w:r>
        <w:t>An activist argument that a diversified or conglomerate company's component businesses would be worth more if separated (via spin-off, sale, or divestiture) than the company's current consolidated market value reflects. See Part II, section 2.1.</w:t>
      </w:r>
    </w:p>
    <w:p w14:paraId="1A72DB82" w14:textId="77777777" w:rsidR="000A2EB2" w:rsidRDefault="00000000">
      <w:r>
        <w:rPr>
          <w:b/>
        </w:rPr>
        <w:t xml:space="preserve">Carried interest / performance fee: </w:t>
      </w:r>
      <w:r>
        <w:t>The share of investment profits (commonly 20%) paid to a hedge fund's general partner/manager, which Kahan &amp; Rock (2007) identify as a key structural feature aligning activist fund managers' incentives with campaign success. See Part VII, section 7.2.</w:t>
      </w:r>
    </w:p>
    <w:p w14:paraId="435BDCB9" w14:textId="77777777" w:rsidR="000A2EB2" w:rsidRDefault="00000000">
      <w:r>
        <w:rPr>
          <w:b/>
        </w:rPr>
        <w:t xml:space="preserve">Classified (staggered) board: </w:t>
      </w:r>
      <w:r>
        <w:t>A board structure dividing directors into classes (typically three) serving staggered multi-year terms, so that only a fraction of the board faces election in any given year. See Part IV, section 4.2; Part VII, section 7.5 (Bebchuk, Coates &amp; Subramanian, 2002).</w:t>
      </w:r>
    </w:p>
    <w:p w14:paraId="362F7E86" w14:textId="77777777" w:rsidR="000A2EB2" w:rsidRDefault="00000000">
      <w:r>
        <w:rPr>
          <w:b/>
        </w:rPr>
        <w:t xml:space="preserve">Control-ownership divergence / wedge: </w:t>
      </w:r>
      <w:r>
        <w:t>The gap between a controlling shareholder's voting control and its cash-flow (economic) ownership stake, created through dual-class shares, pyramidal structures, or cross-shareholdings, and associated with a systematic valuation discount per Claessens, Djankov &amp; Lang (2000). See Part IX, section 9.2.</w:t>
      </w:r>
    </w:p>
    <w:p w14:paraId="5715A1EF" w14:textId="77777777" w:rsidR="000A2EB2" w:rsidRDefault="00000000">
      <w:r>
        <w:rPr>
          <w:b/>
        </w:rPr>
        <w:t xml:space="preserve">Dual-class share structure: </w:t>
      </w:r>
      <w:r>
        <w:t>A capital structure in which one class of shares carries superior voting rights (e.g., Koç Holding's A shares carrying two votes versus B shares' one vote), concentrating voting control disproportionately to economic ownership. See Part VI, section 6.1; Part IX, section 9.1; Part X, section 10.3.</w:t>
      </w:r>
    </w:p>
    <w:p w14:paraId="73F2440F" w14:textId="77777777" w:rsidR="000A2EB2" w:rsidRDefault="00000000">
      <w:r>
        <w:rPr>
          <w:b/>
        </w:rPr>
        <w:t xml:space="preserve">Flip-in / flip-over provision: </w:t>
      </w:r>
      <w:r>
        <w:t>The two principal poison pill trigger mechanics: a flip-in provision dilutes the triggering shareholder once an ownership threshold is crossed; a flip-over provision extends dilution rights through a subsequent merger with the triggering shareholder. See Part VII, section 7.4.</w:t>
      </w:r>
    </w:p>
    <w:p w14:paraId="3029E56B" w14:textId="77777777" w:rsidR="000A2EB2" w:rsidRDefault="00000000">
      <w:r>
        <w:rPr>
          <w:b/>
        </w:rPr>
        <w:t xml:space="preserve">Free-rider problem: </w:t>
      </w:r>
      <w:r>
        <w:t>Grossman &amp; Hart's (1980) foundational insight that dispersed shareholders under-invest in costly monitoring or takeover-tendering because resulting gains accrue pro rata to all shareholders, including non-participants. See Part I, section 1.3; Part VII, section 7.1 (worked numerical example).</w:t>
      </w:r>
    </w:p>
    <w:p w14:paraId="5252F7FC" w14:textId="77777777" w:rsidR="000A2EB2" w:rsidRDefault="00000000">
      <w:r>
        <w:rPr>
          <w:b/>
        </w:rPr>
        <w:t xml:space="preserve">Glass Lewis: </w:t>
      </w:r>
      <w:r>
        <w:t>One of the two dominant proxy advisory firms (alongside ISS) whose voting recommendations are frequently decisive in contested director elections. See Part III, section 3.2.</w:t>
      </w:r>
    </w:p>
    <w:p w14:paraId="54006EA4" w14:textId="77777777" w:rsidR="000A2EB2" w:rsidRDefault="00000000">
      <w:r>
        <w:rPr>
          <w:b/>
        </w:rPr>
        <w:lastRenderedPageBreak/>
        <w:t xml:space="preserve">Greenmail: </w:t>
      </w:r>
      <w:r>
        <w:t>The now largely defunct 1980s-era practice of a target company repurchasing a raider's shares at an above-market premium specifically to end a takeover threat, effectively eliminated by 1986 tax penalties and the widespread adoption of poison pills. See Part XIII, section 13.1.</w:t>
      </w:r>
    </w:p>
    <w:p w14:paraId="2FA1593A" w14:textId="77777777" w:rsidR="000A2EB2" w:rsidRDefault="00000000">
      <w:r>
        <w:rPr>
          <w:b/>
        </w:rPr>
        <w:t xml:space="preserve">Institutional Shareholder Services (ISS): </w:t>
      </w:r>
      <w:r>
        <w:t>The largest proxy advisory firm, whose voting recommendations institutional and index-fund shareholders frequently defer to in contested elections. See Part III, section 3.2.</w:t>
      </w:r>
    </w:p>
    <w:p w14:paraId="5BE8E321" w14:textId="77777777" w:rsidR="000A2EB2" w:rsidRDefault="00000000">
      <w:r>
        <w:rPr>
          <w:b/>
        </w:rPr>
        <w:t xml:space="preserve">Just vote no / withhold-vote campaign: </w:t>
      </w:r>
      <w:r>
        <w:t>A lower-cost activist tactic urging shareholders to withhold votes from, or vote against, specific incumbent directors in an otherwise uncontested election, rather than nominating a competing candidate. See Part VII, section 7.7.</w:t>
      </w:r>
    </w:p>
    <w:p w14:paraId="105E59C2" w14:textId="77777777" w:rsidR="000A2EB2" w:rsidRDefault="00000000">
      <w:r>
        <w:rPr>
          <w:b/>
        </w:rPr>
        <w:t xml:space="preserve">Plurality voting standard: </w:t>
      </w:r>
      <w:r>
        <w:t>A director-election voting standard under which a nominee can be elected with even a single "for" vote absent a competing candidate, limiting the direct legal effect of a withhold-vote campaign. See Part VII, section 7.7.</w:t>
      </w:r>
    </w:p>
    <w:p w14:paraId="0EA6291E" w14:textId="77777777" w:rsidR="000A2EB2" w:rsidRDefault="00000000">
      <w:r>
        <w:rPr>
          <w:b/>
        </w:rPr>
        <w:t xml:space="preserve">Poison pill / shareholder rights plan: </w:t>
      </w:r>
      <w:r>
        <w:t>A defensive measure triggered when an acquirer or activist crosses a specified ownership threshold, diluting the triggering party's stake and deterring further accumulation. Validated by Moran v. Household International (Del. 1985). See Part IV, section 4.1; Part VII, section 7.4.</w:t>
      </w:r>
    </w:p>
    <w:p w14:paraId="17841BDF" w14:textId="77777777" w:rsidR="000A2EB2" w:rsidRDefault="00000000">
      <w:r>
        <w:rPr>
          <w:b/>
        </w:rPr>
        <w:t xml:space="preserve">Proxy contest / proxy fight: </w:t>
      </w:r>
      <w:r>
        <w:t>A contested board election in which a dissident nominates its own director slate and solicits shareholder votes ahead of the annual meeting, decided at a shareholder vote if no settlement is reached. See Part III.</w:t>
      </w:r>
    </w:p>
    <w:p w14:paraId="422E07CA" w14:textId="77777777" w:rsidR="000A2EB2" w:rsidRDefault="00000000">
      <w:r>
        <w:rPr>
          <w:b/>
        </w:rPr>
        <w:t xml:space="preserve">Pyramidal ownership structure: </w:t>
      </w:r>
      <w:r>
        <w:t>A control mechanism in which a family holding company controls an intermediate company that in turn controls the operating company, allowing majority voting control with a smaller ultimate cash-flow ownership stake. See Part IX, sections 9.1-9.2 (La Porta et al., 1999; Claessens, Djankov &amp; Lang, 2000).</w:t>
      </w:r>
    </w:p>
    <w:p w14:paraId="7AED98AF" w14:textId="77777777" w:rsidR="000A2EB2" w:rsidRDefault="00000000">
      <w:r>
        <w:rPr>
          <w:b/>
        </w:rPr>
        <w:t xml:space="preserve">Say-on-pay vote: </w:t>
      </w:r>
      <w:r>
        <w:t>An advisory (non-binding, in most jurisdictions) shareholder vote on executive compensation, one of the lower-intensity governance tools available even where a controlling shareholder forecloses board-control contests. See Part IX, section 9.4.</w:t>
      </w:r>
    </w:p>
    <w:p w14:paraId="08077CA5" w14:textId="77777777" w:rsidR="000A2EB2" w:rsidRDefault="00000000">
      <w:r>
        <w:rPr>
          <w:b/>
        </w:rPr>
        <w:t xml:space="preserve">Schedule 13D / 13G: </w:t>
      </w:r>
      <w:r>
        <w:t>SEC disclosure forms required of beneficial owners exceeding 5% of a registered equity class; 13D is required of control-influencing (activist) holders, 13G of passive holders. See Part XV, section 15.1.</w:t>
      </w:r>
    </w:p>
    <w:p w14:paraId="22457E37" w14:textId="77777777" w:rsidR="000A2EB2" w:rsidRDefault="00000000">
      <w:r>
        <w:rPr>
          <w:b/>
        </w:rPr>
        <w:t xml:space="preserve">Short-swing profit rule (Section 16(b)): </w:t>
      </w:r>
      <w:r>
        <w:t>A strict-liability rule requiring officers, directors, and 10%+ beneficial owners to disgorge profits from any purchase-and-sale (or sale-and-purchase) within a six-month window. See Part XV, section 15.4.</w:t>
      </w:r>
    </w:p>
    <w:p w14:paraId="5F07C744" w14:textId="77777777" w:rsidR="000A2EB2" w:rsidRDefault="00000000">
      <w:r>
        <w:rPr>
          <w:b/>
        </w:rPr>
        <w:t xml:space="preserve">Standstill agreement: </w:t>
      </w:r>
      <w:r>
        <w:t>A settlement provision limiting an activist's further stake increases or public criticism of the target for a defined period, typically included alongside board-seat grants. See Part III, section 3.3.</w:t>
      </w:r>
    </w:p>
    <w:p w14:paraId="487459E3" w14:textId="77777777" w:rsidR="000A2EB2" w:rsidRDefault="00000000">
      <w:r>
        <w:rPr>
          <w:b/>
        </w:rPr>
        <w:t xml:space="preserve">Stealth stake-building: </w:t>
      </w:r>
      <w:r>
        <w:t>The practice of using derivative instruments or careful trade pacing to build economic exposure to a target company before crossing a beneficial-ownership disclosure threshold. See Part XV, section 15.2.</w:t>
      </w:r>
    </w:p>
    <w:p w14:paraId="32A93FAB" w14:textId="77777777" w:rsidR="000A2EB2" w:rsidRDefault="00000000">
      <w:r>
        <w:rPr>
          <w:b/>
        </w:rPr>
        <w:t xml:space="preserve">Sunset provision: </w:t>
      </w:r>
      <w:r>
        <w:t>A time-limited feature of a poison pill or other defensive measure (e.g., automatic expiration after one year absent shareholder ratification), associated with more favorable market reaction than open-ended defensive measures. See Part IV, section 4.1; Part VII, section 7.4.</w:t>
      </w:r>
    </w:p>
    <w:p w14:paraId="21FC53AC" w14:textId="77777777" w:rsidR="000A2EB2" w:rsidRDefault="00000000">
      <w:r>
        <w:rPr>
          <w:b/>
        </w:rPr>
        <w:lastRenderedPageBreak/>
        <w:t xml:space="preserve">Supermajority voting provision: </w:t>
      </w:r>
      <w:r>
        <w:t>A charter or bylaw requirement that fundamental governance changes (e.g., board declassification, charter amendments, mergers) be approved by a supermajority (commonly 66.67% or 80%) rather than a simple majority of shares. See Part X, section 10.3.</w:t>
      </w:r>
    </w:p>
    <w:p w14:paraId="6822AB13" w14:textId="77777777" w:rsidR="000A2EB2" w:rsidRDefault="00000000">
      <w:r>
        <w:rPr>
          <w:b/>
        </w:rPr>
        <w:t xml:space="preserve">Universal proxy card: </w:t>
      </w:r>
      <w:r>
        <w:t>A single proxy card, mandated by SEC rules effective for meetings after August 31, 2022, listing all duly nominated candidates from all sides of a contested election, allowing any shareholder to vote for any combination of candidates. See Part VII, section 7.6.</w:t>
      </w:r>
    </w:p>
    <w:p w14:paraId="1509DD95" w14:textId="77777777" w:rsidR="000A2EB2" w:rsidRDefault="00000000">
      <w:r>
        <w:rPr>
          <w:b/>
        </w:rPr>
        <w:t xml:space="preserve">Wolf pack activism: </w:t>
      </w:r>
      <w:r>
        <w:t>Coordinated, but formally non-"group", campaigns in which multiple hedge funds independently accumulate stakes in the same target and act in loose parallel, without triggering aggregated Section 13(d) group disclosure. See Part VII, section 7.3 (Coffee &amp; Palia, 2016).</w:t>
      </w:r>
    </w:p>
    <w:p w14:paraId="36866343" w14:textId="77777777" w:rsidR="000A2EB2" w:rsidRDefault="00000000">
      <w:r>
        <w:br w:type="page"/>
      </w:r>
    </w:p>
    <w:p w14:paraId="5C9ADBC7" w14:textId="77777777" w:rsidR="000A2EB2" w:rsidRDefault="00000000">
      <w:pPr>
        <w:pStyle w:val="Heading1"/>
      </w:pPr>
      <w:r>
        <w:lastRenderedPageBreak/>
        <w:t>Part XVIII -- Extended Classroom Simulation Exercise</w:t>
      </w:r>
    </w:p>
    <w:p w14:paraId="3BEE4459" w14:textId="77777777" w:rsidR="000A2EB2" w:rsidRDefault="00000000">
      <w:r>
        <w:t>This Part provides a structured, multi-round classroom simulation exercise intended to let students apply the full apparatus developed across Parts I-XVII in a single integrated exercise. Instructors may run this simulation over one extended class session or across two consecutive sessions.</w:t>
      </w:r>
    </w:p>
    <w:p w14:paraId="3EC0E91E" w14:textId="77777777" w:rsidR="000A2EB2" w:rsidRDefault="00000000">
      <w:pPr>
        <w:pStyle w:val="Heading2"/>
      </w:pPr>
      <w:r>
        <w:t>18.1 Simulation Setup</w:t>
      </w:r>
    </w:p>
    <w:p w14:paraId="09BBF520" w14:textId="77777777" w:rsidR="000A2EB2" w:rsidRDefault="00000000">
      <w:r>
        <w:t>Divide the class into groups of four to six students, with each group assigned one of three roles: (i) an activist hedge fund team, (ii) a target company board/management team, and (iii) a proxy advisory/institutional-investor team (representing a composite of ISS, Glass Lewis, and the largest index-fund shareholders). Distribute a common fact pattern: a hypothetical mid-cap diversified industrial company, "Bosphorus Industrials Inc.," with a $4.5 billion market capitalization, three operating segments of meaningfully different profitability and growth profiles (a mature, high-margin industrial-components segment; a slower-growing, capital-intensive infrastructure-services segment; and a small, fast-growing but currently loss-making digital-services segment), a single-class share structure, no staggered board, an advance-notice bylaw requiring 100 days' notice, and a board that has not adopted a poison pill. Total shareholder return has lagged a defined peer index by approximately 22% over the trailing three years, and the company holds approximately $600 million of cash with no clearly articulated capital-allocation policy.</w:t>
      </w:r>
    </w:p>
    <w:p w14:paraId="0AB77C35" w14:textId="77777777" w:rsidR="000A2EB2" w:rsidRDefault="00000000">
      <w:pPr>
        <w:pStyle w:val="Heading2"/>
      </w:pPr>
      <w:r>
        <w:t>18.2 Round One: Thesis Development and Private Engagement</w:t>
      </w:r>
    </w:p>
    <w:p w14:paraId="3C24BDD8" w14:textId="77777777" w:rsidR="000A2EB2" w:rsidRDefault="00000000">
      <w:r>
        <w:t>The activist team must develop a specific written thesis (drawing on the break-up/sum-of-the-parts framework from Part II, section 2.1, and the M&amp;A-demand data from Part II, section 2.2) identifying which of Bosphorus's three segments should be divested or spun off, with a quantified sum-of-the-parts valuation case, and must decide on an initial target ownership stake using the worked free-rider arithmetic from Part VII, section 7.1 (students should show their break-even calculation explicitly). The board/management team must prepare a private response, deciding whether to engage constructively or to prepare defensive measures (referencing the poison pill and defense-tactics table in Part X, section 10.3). The advisory/institutional-investor team should not yet be briefed on either side's private position, simulating the information asymmetry that characterizes the actual private-engagement stage described in Part X, section 10.2 (playbook stage 3).</w:t>
      </w:r>
    </w:p>
    <w:p w14:paraId="6893D0F9" w14:textId="77777777" w:rsidR="000A2EB2" w:rsidRDefault="00000000">
      <w:pPr>
        <w:pStyle w:val="Heading2"/>
      </w:pPr>
      <w:r>
        <w:t>18.3 Round Two: Public Escalation and the Universal Proxy Decision</w:t>
      </w:r>
    </w:p>
    <w:p w14:paraId="09C4C191" w14:textId="77777777" w:rsidR="000A2EB2" w:rsidRDefault="00000000">
      <w:r>
        <w:t>If private engagement (simulated through a short negotiation exercise between the activist and board teams) fails to produce agreement, the activist team must draft a public letter and decide on its board-nomination strategy: a full competing slate (the Starboard/Darden, case 8.3, maximalist approach) versus a partial slate calibrated to the universal proxy card mechanics described in Part VII, section 7.6. The board team must decide whether to adopt a short-duration defensive pill, referencing the Moran v. Household International standard from Part VII, section 7.4, and must prepare its own public response and any board-refresh commitments. Both teams then present their public positions to the advisory/institutional-investor team, who must issue a reasoned voting recommendation, explicitly weighing the quantitative thesis, the credibility of each side's operational plan, and the qualitative factors (board responsiveness, nominee credentials) discussed in the Trian/P&amp;G versus Trian/Disney comparison (cases 8.9-8.10) and the associated discussion question in Part XI.</w:t>
      </w:r>
    </w:p>
    <w:p w14:paraId="5C429ABC" w14:textId="77777777" w:rsidR="000A2EB2" w:rsidRDefault="00000000">
      <w:pPr>
        <w:pStyle w:val="Heading2"/>
      </w:pPr>
      <w:r>
        <w:lastRenderedPageBreak/>
        <w:t>18.4 Debrief and Assessment</w:t>
      </w:r>
    </w:p>
    <w:p w14:paraId="02370DF2" w14:textId="77777777" w:rsidR="000A2EB2" w:rsidRDefault="00000000">
      <w:r>
        <w:t>Following the simulated vote (or negotiated settlement, if the two sides reach one during Round Two), the instructor should lead a debrief connecting the simulation outcome back to the theoretical apparatus of Parts I, VII, and IX: did the activist's stake size clear the free-rider break-even threshold calculated in Round One? Did the universal-proxy-optimized nomination strategy affect the advisory team's recommendation relative to a full-slate alternative? Would the same campaign have been possible at all if Bosphorus had a dual-class share structure or a controlling family shareholder, per the Part IX analysis? Instructors are encouraged to run the simulation twice with the same fact pattern but a modified ownership structure (adding a 55% family-controlled voting block in the second run) specifically to let students experience directly the activism-resistance dynamic documented in Part IX.</w:t>
      </w:r>
    </w:p>
    <w:p w14:paraId="151EA2C1" w14:textId="77777777" w:rsidR="000A2EB2" w:rsidRDefault="00000000">
      <w:r>
        <w:br w:type="page"/>
      </w:r>
    </w:p>
    <w:p w14:paraId="5356958A" w14:textId="77777777" w:rsidR="000A2EB2" w:rsidRDefault="00000000">
      <w:pPr>
        <w:pStyle w:val="Heading1"/>
      </w:pPr>
      <w:r>
        <w:lastRenderedPageBreak/>
        <w:t>Part VII (Continued) -- Supplementary Theory Notes</w:t>
      </w:r>
    </w:p>
    <w:p w14:paraId="3BB3AE4B" w14:textId="77777777" w:rsidR="000A2EB2" w:rsidRDefault="00000000">
      <w:pPr>
        <w:pStyle w:val="Heading2"/>
      </w:pPr>
      <w:r>
        <w:t>7.1.1 Sensitivity Analysis: How Campaign Cost and Value Uplift Change the Break-Even Stake</w:t>
      </w:r>
    </w:p>
    <w:p w14:paraId="773240F2" w14:textId="77777777" w:rsidR="000A2EB2" w:rsidRDefault="00000000">
      <w:r>
        <w:t>The TargetCo example in section 7.1 above used a single set of assumptions (a 15% value uplift, an $8,000,000 campaign cost) to derive a 2.67% break-even ownership stake. It is instructive to see how sensitive this break-even threshold is to each assumption, since real-world activist campaigns vary enormously in both the scale of the claimed value-creation opportunity and the cost of pursuing it (recall Gantchev's 2013 finding that full-contest costs average $10.7 million but vary substantially by target size and contest intensity).</w:t>
      </w:r>
    </w:p>
    <w:p w14:paraId="5DF26B9D" w14:textId="77777777" w:rsidR="000A2EB2" w:rsidRDefault="000A2EB2"/>
    <w:p w14:paraId="38174EDC" w14:textId="77777777" w:rsidR="000A2EB2" w:rsidRDefault="00000000">
      <w:r>
        <w:t>Two patterns emerge clearly from this sensitivity table. First, break-even ownership stakes fall as either the size of the value-creation thesis grows or the campaign cost falls, meaning the very largest, most compelling activist theses (a large break-up or M&amp;A thesis of the kind increasingly dominant in the H1 2026 data reviewed in Part II) can justify activist intervention even at ownership stakes well under 2%, consistent with Engine No. 1's ability to win ExxonMobil board seats from a stake of roughly 0.02% once its thesis was credible enough to mobilize existing large index-fund holders rather than requiring the activist's own stake to clear the threshold directly (Part VII, section 7.8). Second, low-cost tactics -- specifically the "just vote no"/withhold-vote campaign discussed in section 7.7, which avoids nearly all of Gantchev's (2013) full-contest cost components -- have a dramatically lower break-even threshold (0.50% in the illustrative row above) than a full proxy contest pursuing an identical underlying thesis, which is the core economic explanation for why "just vote no" campaigns remain a viable, frequently used tool even for funds or coalitions that could never justify the cost of a full board-seat contest on the same target.</w:t>
      </w:r>
    </w:p>
    <w:p w14:paraId="71392C2E" w14:textId="77777777" w:rsidR="000A2EB2" w:rsidRDefault="00000000">
      <w:pPr>
        <w:pStyle w:val="Heading2"/>
      </w:pPr>
      <w:r>
        <w:t>7.8.1 A Note on Measuring ESG-Activism Success: Beyond Board Seats</w:t>
      </w:r>
    </w:p>
    <w:p w14:paraId="3960CDE2" w14:textId="77777777" w:rsidR="000A2EB2" w:rsidRDefault="00000000">
      <w:r>
        <w:t>A further complication in evaluating ESG-linked activist campaigns of the Engine No. 1/ExxonMobil type (case 8.8) is that the conventional success metric used throughout this reader for financially-motivated campaigns -- board seats won, or a specific capital-allocation or M&amp;A outcome achieved -- may be a poor proxy for whether the campaign's underlying objective (improved climate-transition risk management, in Engine No. 1's case) was actually achieved over the subsequent multi-year period, since board representation is an input to, rather than a direct measure of, the intended strategic outcome. Instructors and students evaluating ESG-linked campaigns should distinguish carefully between the governance-outcome metric (board seats, which this reader tracks consistently across all ten Part VIII case vignettes for comparability) and the substantive-outcome metric (actual changes in capital expenditure allocation, emissions-reduction commitments, or strategic disclosure), which may take considerably longer to observe and verify than the governance outcome itself, and which is subject to the same multi-year attribution difficulty discussed in the Elliott/AT&amp;T case (8.4) regarding the WarnerMedia spin-off.</w:t>
      </w:r>
    </w:p>
    <w:p w14:paraId="51C7239A" w14:textId="77777777" w:rsidR="000A2EB2" w:rsidRDefault="00000000">
      <w:r>
        <w:br w:type="page"/>
      </w:r>
    </w:p>
    <w:p w14:paraId="5FADB63E" w14:textId="77777777" w:rsidR="000A2EB2" w:rsidRDefault="00000000">
      <w:pPr>
        <w:pStyle w:val="Heading1"/>
      </w:pPr>
      <w:r>
        <w:lastRenderedPageBreak/>
        <w:t>Part XIX -- Sector Deep-Dives: Where and How Activism Concentrates</w:t>
      </w:r>
    </w:p>
    <w:p w14:paraId="2635468F" w14:textId="77777777" w:rsidR="000A2EB2" w:rsidRDefault="00000000">
      <w:r>
        <w:t>Parts II and X above establish that activism campaign volume is not evenly distributed across sectors; the H1 2026 data (Part II, section 2.2) shows technology drawing approximately 21% of U.S. campaigns, up from roughly 12% a year earlier, while the Lazard global dataset separately identifies strategy/AI-related demands as present in 46% of technology-sector campaigns specifically. This Part examines the distinct activism dynamics of four sectors -- technology, energy, consumer/retail, and financial institutions -- each of which presents a structurally different opportunity and constraint set for activist campaigns.</w:t>
      </w:r>
    </w:p>
    <w:p w14:paraId="64E0B436" w14:textId="77777777" w:rsidR="000A2EB2" w:rsidRDefault="00000000">
      <w:pPr>
        <w:pStyle w:val="Heading2"/>
      </w:pPr>
      <w:r>
        <w:t>19.1 Technology</w:t>
      </w:r>
    </w:p>
    <w:p w14:paraId="1B6E7AC6" w14:textId="77777777" w:rsidR="000A2EB2" w:rsidRDefault="00000000">
      <w:r>
        <w:t>Technology is now the single most-targeted sector in the 2025-2026 activism cycle (Part II, section 2.2), for three reasons distinct from the older-economy sectors that dominated earlier eras (Part XIII).</w:t>
      </w:r>
    </w:p>
    <w:p w14:paraId="7868BAC5" w14:textId="77777777" w:rsidR="000A2EB2" w:rsidRDefault="00000000">
      <w:r>
        <w:t>First, ownership structure matters as much in tech as anywhere else. Alphabet, Meta, and other large-cap technology companies keep founder-controlled dual-class shares that can foreclose a board-seat contest just as effectively as Koc Holding's family voting structure (Part IX; Part X, section 10.3) -- regardless of how good an activist's thesis is. That is exactly why Microsoft, single-class since its founding, was a viable ValueAct target in 2013 in a way Alphabet or Meta simply is not.</w:t>
      </w:r>
    </w:p>
    <w:p w14:paraId="64D20449" w14:textId="77777777" w:rsidR="000A2EB2" w:rsidRDefault="00000000">
      <w:r>
        <w:t>Second, generative AI has created an entirely new demand category since 2023. Lazard finds that strategy/AI-related demands appear in 46% of technology-sector campaigns -- activists now challenge management's AI capital-expenditure plans in both directions: pushing for more aggressive investment where a target looks behind competitively, or for more discipline where AI spending looks excessive relative to demonstrated returns. Neither older sector shows this two-way pattern.</w:t>
      </w:r>
    </w:p>
    <w:p w14:paraId="67FB53F0" w14:textId="77777777" w:rsidR="000A2EB2" w:rsidRDefault="00000000">
      <w:r>
        <w:t>Third, technology companies typically carry large net cash balances and historically loose capital-return policies compared with mature industrial or consumer firms, which keeps capital-allocation activism a persistent opportunity in the sector.</w:t>
      </w:r>
    </w:p>
    <w:p w14:paraId="2FCFFBD9" w14:textId="77777777" w:rsidR="000A2EB2" w:rsidRDefault="00000000">
      <w:pPr>
        <w:pStyle w:val="Heading2"/>
      </w:pPr>
      <w:r>
        <w:t>19.2 Energy</w:t>
      </w:r>
    </w:p>
    <w:p w14:paraId="58FD8F9E" w14:textId="77777777" w:rsidR="000A2EB2" w:rsidRDefault="00000000">
      <w:r>
        <w:t>Energy-sector activism, illustrated by the Engine No. 1/ExxonMobil case (8.8) and the ESG-linked activism framework developed in Part VII, section 7.8, presents a genuinely bidirectional demand structure unique among the sectors examined in this Part: some energy-sector campaigns (Engine No. 1's being the paradigmatic example) push for accelerated climate-transition investment and reduced legacy fossil-fuel capital expenditure, while other energy-sector campaigns push in the opposite direction, criticizing management for over-investing in unproven transition/renewable technologies at the expense of near-term shareholder returns from core, cash-generative fossil-fuel operations. This bidirectionality reflects a genuine, unresolved debate among energy-sector shareholders (rather than a uniform activist consensus) about the correct time horizon and risk-adjusted framing for climate transition capital allocation, and means that, unlike most of the sector patterns in this Part, "energy-sector activism" as a category cannot be summarized by a single dominant demand type in the way, for example, that H1 2026 Japan-focused activism (Part XVI, section 16.3) can be summarized as predominantly capital-efficiency-driven.</w:t>
      </w:r>
    </w:p>
    <w:p w14:paraId="127B8DCC" w14:textId="77777777" w:rsidR="000A2EB2" w:rsidRDefault="00000000">
      <w:pPr>
        <w:pStyle w:val="Heading2"/>
      </w:pPr>
      <w:r>
        <w:lastRenderedPageBreak/>
        <w:t>19.3 Consumer and Retail</w:t>
      </w:r>
    </w:p>
    <w:p w14:paraId="28FB8614" w14:textId="77777777" w:rsidR="000A2EB2" w:rsidRDefault="00000000">
      <w:r>
        <w:t>Consumer and retail activism, illustrated by the Starboard/Darden (case 8.3), Starboard/Papa John's, Trian/P&amp;G (case 8.9), and Jana Partners/Whole Foods campaigns referenced in Part X, section 10.1, tends to combine operational-execution theses (brand-level underperformance, same-store-sales weakness, cost-structure bloat relative to leaner competitors) with sale-of-company or strategic-alternatives demands, reflecting the sector's relatively fragmented competitive structure and the frequent existence of credible strategic or financial-sponsor buyers for underperforming consumer and retail assets (as materialized rapidly in the Whole Foods/Amazon outcome). Consumer and retail targets also feature disproportionately in the "just vote no" and withhold-vote campaign category described in Part VII, section 7.7, because brand-reputation-sensitive consumer companies are unusually exposed to the public reputational cost of a visible, high-profile withhold-vote campaign relative to less consumer-facing industrial or business-services companies.</w:t>
      </w:r>
    </w:p>
    <w:p w14:paraId="5453853B" w14:textId="77777777" w:rsidR="000A2EB2" w:rsidRDefault="00000000">
      <w:pPr>
        <w:pStyle w:val="Heading2"/>
      </w:pPr>
      <w:r>
        <w:t>19.4 Financial Institutions</w:t>
      </w:r>
    </w:p>
    <w:p w14:paraId="232B0BB7" w14:textId="77777777" w:rsidR="000A2EB2" w:rsidRDefault="00000000">
      <w:r>
        <w:t>Bank and financial-institution activism operates under a materially different regulatory constraint set than every other sector examined in this Part: bank holding companies in the United States are subject to Federal Reserve Regulation Y, under which any investor (including an activist fund) acquiring 10% or more of a bank holding company's voting shares is presumed to have acquired "control" for purposes of the Bank Holding Company Act, triggering a formal regulatory approval requirement and, in practice, a range of behavioral restrictions (including limits on board representation and on communications with management that could be construed as exercising a controlling influence) that have no equivalent in any other sector discussed in this reader. This regulatory overlay means that financial-institution activist campaigns (illustrated in the illustrative Table 2 composite pattern in Part II, section 2.3, "regional bank holding company") typically target stakes well below the 10% presumption-of-control threshold, and frequently pursue capital-return acceleration (buyback and dividend increases funded by excess regulatory capital) and board-refresh demands rather than the more aggressive break-up or full-slate board-contest strategies available in unregulated sectors, reflecting a structural constraint on financial-sector activism intensity that mirrors, in a narrower and specifically regulatory form, the broader ownership-structure constraints on activism discussed in Part IX.</w:t>
      </w:r>
    </w:p>
    <w:p w14:paraId="456D38CE" w14:textId="77777777" w:rsidR="000A2EB2" w:rsidRDefault="00000000">
      <w:r>
        <w:br w:type="page"/>
      </w:r>
    </w:p>
    <w:p w14:paraId="6F62D488" w14:textId="2AE60292" w:rsidR="000A2EB2" w:rsidRDefault="00000000">
      <w:pPr>
        <w:pStyle w:val="Heading1"/>
      </w:pPr>
      <w:r>
        <w:lastRenderedPageBreak/>
        <w:t>Part XX -- Annotated Further Reading</w:t>
      </w:r>
    </w:p>
    <w:p w14:paraId="3D805FD7" w14:textId="77777777" w:rsidR="000A2EB2" w:rsidRDefault="00000000">
      <w:r>
        <w:t>For students wishing to go beyond the assigned academic articles and case vignettes in this reader, the following book-length and long-form treatments are recommended, with a brief annotation for each.</w:t>
      </w:r>
    </w:p>
    <w:p w14:paraId="00E98D75" w14:textId="77777777" w:rsidR="000A2EB2" w:rsidRDefault="00000000">
      <w:r>
        <w:rPr>
          <w:b/>
        </w:rPr>
        <w:t>Coffee, J. C., Jr. (2019). Corporate Governance and Shareholder Activism: A Comparative Perspective. (Various journal-length treatments collected under this general title across Columbia Law School working paper series.)</w:t>
      </w:r>
    </w:p>
    <w:p w14:paraId="1AE46685" w14:textId="77777777" w:rsidR="000A2EB2" w:rsidRDefault="00000000">
      <w:r>
        <w:t>Extends the wolf-pack framework (Part VII, section 7.3) into a broader comparative treatment of activism regulation across jurisdictions.</w:t>
      </w:r>
    </w:p>
    <w:p w14:paraId="473DCBD1" w14:textId="77777777" w:rsidR="000A2EB2" w:rsidRDefault="00000000">
      <w:r>
        <w:rPr>
          <w:b/>
        </w:rPr>
        <w:t>Wachtell, Lipton, Rosen &amp; Katz. "Bebchuk/Wachtell debate" memoranda on staggered boards and shareholder activism (various, 2013-2020, publicly available via the Harvard Law School Forum on Corporate Governance).</w:t>
      </w:r>
    </w:p>
    <w:p w14:paraId="28C0EB8E" w14:textId="77777777" w:rsidR="000A2EB2" w:rsidRDefault="00000000">
      <w:r>
        <w:t>A useful counterpoint to the pro-activism academic consensus; Wachtell's memoranda represent the leading practitioner-side critique of unrestrained activism and defend staggered boards and other defensive measures on stability grounds.</w:t>
      </w:r>
    </w:p>
    <w:p w14:paraId="0C19617C" w14:textId="77777777" w:rsidR="000A2EB2" w:rsidRDefault="00000000">
      <w:r>
        <w:rPr>
          <w:b/>
        </w:rPr>
        <w:t>Sorkin, A. R. (2009). Too Big to Fail. Viking.</w:t>
      </w:r>
    </w:p>
    <w:p w14:paraId="44BD7CAE" w14:textId="77777777" w:rsidR="000A2EB2" w:rsidRDefault="00000000">
      <w:r>
        <w:t>While primarily a financial-crisis narrative, contains useful background on the private-equity and activist-adjacent deal culture of the 2000s relevant to understanding the institutional backdrop against which modern hedge fund activism (Part XIII, section 13.3) developed.</w:t>
      </w:r>
    </w:p>
    <w:p w14:paraId="3465069D" w14:textId="77777777" w:rsidR="000A2EB2" w:rsidRDefault="00000000">
      <w:r>
        <w:rPr>
          <w:b/>
        </w:rPr>
        <w:t>Bruck, C. (1988). The Predators' Ball: The Junk Bond Raiders and the Man Who Staked Them. American Lawyer/Simon &amp; Schuster.</w:t>
      </w:r>
    </w:p>
    <w:p w14:paraId="22BB81FD" w14:textId="77777777" w:rsidR="000A2EB2" w:rsidRDefault="00000000">
      <w:r>
        <w:t>The definitive narrative history of the 1980s corporate raider era (Part XIII, section 13.1), including detailed treatment of Michael Milken, Drexel Burnham Lambert, and the junk-bond financing mechanism underlying that era's hostile takeovers.</w:t>
      </w:r>
    </w:p>
    <w:p w14:paraId="0E768F4B" w14:textId="77777777" w:rsidR="000A2EB2" w:rsidRDefault="00000000">
      <w:r>
        <w:rPr>
          <w:b/>
        </w:rPr>
        <w:t>Harvard Law School Forum on Corporate Governance (ongoing).</w:t>
      </w:r>
    </w:p>
    <w:p w14:paraId="7563F58D" w14:textId="77777777" w:rsidR="000A2EB2" w:rsidRDefault="00000000">
      <w:r>
        <w:t>The single best continuously updated source for both academic and practitioner commentary on current activism campaigns, referenced throughout this reader's H1 2026 data discussion (Part II).</w:t>
      </w:r>
    </w:p>
    <w:p w14:paraId="16D0231A" w14:textId="77777777" w:rsidR="000A2EB2" w:rsidRDefault="00000000">
      <w:r>
        <w:rPr>
          <w:b/>
        </w:rPr>
        <w:t>Bebchuk, L. A. (2013). The Myth that Insulating Boards Serves Long-Term Value. Columbia Law Review, 113, 1637.</w:t>
      </w:r>
    </w:p>
    <w:p w14:paraId="49DF601B" w14:textId="77777777" w:rsidR="000A2EB2" w:rsidRDefault="00000000">
      <w:r>
        <w:t>A direct academic rebuttal to the practitioner-side defense of staggered boards, complementing the Bebchuk, Coates &amp; Subramanian (2002) staggered-board analysis in Part VII, section 7.5.</w:t>
      </w:r>
    </w:p>
    <w:p w14:paraId="1976C679" w14:textId="77777777" w:rsidR="000A2EB2" w:rsidRDefault="00000000">
      <w:r>
        <w:br w:type="page"/>
      </w:r>
    </w:p>
    <w:p w14:paraId="7CA8E18D" w14:textId="60122D3A" w:rsidR="000A2EB2" w:rsidRDefault="00000000">
      <w:pPr>
        <w:pStyle w:val="Heading1"/>
      </w:pPr>
      <w:r>
        <w:lastRenderedPageBreak/>
        <w:t>Part XXI -- Appendix: Additional Campaign Mini-Cases</w:t>
      </w:r>
    </w:p>
    <w:p w14:paraId="75E1D701" w14:textId="77777777" w:rsidR="000A2EB2" w:rsidRDefault="00000000">
      <w:r>
        <w:t>This appendix provides shorter (mini-case format, roughly one-third the length of the full vignettes in Part VIII) summaries of ten further activist campaigns not developed as full vignettes above, extending the campaign coverage of this reader for instructors who wish to assign additional independent student research or brief in-class cold-calls beyond the ten primary cases.</w:t>
      </w:r>
    </w:p>
    <w:p w14:paraId="74023A12" w14:textId="77777777" w:rsidR="000A2EB2" w:rsidRDefault="00000000">
      <w:pPr>
        <w:pStyle w:val="Heading2"/>
      </w:pPr>
      <w:r>
        <w:t>A.1 ValueAct Capital vs. Microsoft Corporation (2013)</w:t>
      </w:r>
    </w:p>
    <w:p w14:paraId="147AB65C" w14:textId="77777777" w:rsidR="000A2EB2" w:rsidRDefault="00000000">
      <w:r>
        <w:t>ValueAct Capital, led by Jeffrey Ubben, built a stake of roughly 0.8% in Microsoft in 2013 and, rather than pursuing a public letter-first campaign, engaged privately with Microsoft's board regarding capital allocation, strategic focus (including questions about Microsoft's enterprise versus consumer strategic balance), and CEO succession planning, at a moment when Microsoft was already in the process of replacing CEO Steve Ballmer. Microsoft granted ValueAct's Mason Morfit a board seat (initially as an observer, later a full director) via negotiated settlement without any public proxy fight, illustrating a fully private-track campaign resolution consistent with the Part X, section 10.2 playbook's stage 6 (settlement negotiation) being reached without ever escalating through stages 4 or 5 (public letter, dissident nomination).</w:t>
      </w:r>
    </w:p>
    <w:p w14:paraId="42B2979A" w14:textId="77777777" w:rsidR="000A2EB2" w:rsidRDefault="00000000">
      <w:pPr>
        <w:pStyle w:val="Heading2"/>
      </w:pPr>
      <w:r>
        <w:t>A.2 Third Point vs. Sotheby's (2013-2014)</w:t>
      </w:r>
    </w:p>
    <w:p w14:paraId="586EC0EA" w14:textId="77777777" w:rsidR="000A2EB2" w:rsidRDefault="00000000">
      <w:r>
        <w:t>Daniel Loeb's Third Point disclosed a stake in the auction house Sotheby's in 2013, criticizing the company's cost structure and governance, and challenged Sotheby's shareholder rights plan (poison pill) in Delaware Chancery Court, arguing it was discriminatorily structured to treat passive institutional investors more favorably than activist investors -- a novel legal theory regarding differential poison pill treatment. The litigation and subsequent settlement (2014) resulted in board seats for Loeb and allied nominees and a broader governance overhaul, illustrating the interaction between the poison pill doctrine discussed in Part VII, section 7.4 and direct litigation as an activist escalation tool distinct from the proxy-contest mechanics of Part III.</w:t>
      </w:r>
    </w:p>
    <w:p w14:paraId="2BEBC646" w14:textId="77777777" w:rsidR="000A2EB2" w:rsidRDefault="00000000">
      <w:pPr>
        <w:pStyle w:val="Heading2"/>
      </w:pPr>
      <w:r>
        <w:t>A.10 Cevian Capital vs. ABB Ltd. (2015-2020)</w:t>
      </w:r>
    </w:p>
    <w:p w14:paraId="0F22292D" w14:textId="77777777" w:rsidR="000A2EB2" w:rsidRDefault="00000000">
      <w:r>
        <w:t>The Swedish/European activist fund Cevian Capital built a long-term stake exceeding 5% in Swiss industrial conglomerate ABB Ltd., engaging over a multi-year period (2015-2020) on portfolio simplification, cost discipline, and the eventual divestiture of ABB's power grids division (sold to Hitachi in 2020), illustrating the continental European activism dynamic discussed in Part XVI, section 16.2, in which even a well-resourced activist fund frequently pursues change through years-long private and semi-public engagement rather than the faster U.S.-style escalation sequence more typical of the Part VIII case vignettes.</w:t>
      </w:r>
    </w:p>
    <w:p w14:paraId="2C924A3D" w14:textId="3DB1FF1A" w:rsidR="000A2EB2" w:rsidRDefault="00000000">
      <w:pPr>
        <w:pStyle w:val="Heading1"/>
      </w:pPr>
      <w:r>
        <w:t>Part XXI</w:t>
      </w:r>
      <w:r w:rsidR="00FC0D99">
        <w:t>I</w:t>
      </w:r>
      <w:r>
        <w:t xml:space="preserve"> -- Appendix: Further Case-in-Brief Summaries</w:t>
      </w:r>
    </w:p>
    <w:p w14:paraId="0336C40E" w14:textId="77777777" w:rsidR="000A2EB2" w:rsidRDefault="00000000">
      <w:r>
        <w:t>This further appendix provides brief (case-in-brief format) summaries of eight additional activist engagements, extending the reader's case coverage for instructors wishing to assign further independent student research beyond the ten full vignettes (Part VIII) and the ten mini-cases (Part XXIII).</w:t>
      </w:r>
    </w:p>
    <w:p w14:paraId="15588124" w14:textId="77777777" w:rsidR="00FC0D99" w:rsidRDefault="00FC0D99">
      <w:pPr>
        <w:pStyle w:val="Heading2"/>
      </w:pPr>
    </w:p>
    <w:p w14:paraId="670C01E9" w14:textId="345E00FC" w:rsidR="000A2EB2" w:rsidRDefault="00000000">
      <w:pPr>
        <w:pStyle w:val="Heading2"/>
      </w:pPr>
      <w:r>
        <w:lastRenderedPageBreak/>
        <w:t>31.5 Starboard Value vs. eBay Inc. (2019-2020)</w:t>
      </w:r>
    </w:p>
    <w:p w14:paraId="52B223A8" w14:textId="77777777" w:rsidR="000A2EB2" w:rsidRDefault="00000000">
      <w:r>
        <w:t>Starboard Value built a stake in eBay and pushed for a strategic review of eBay's StubHub and classifieds businesses; eBay subsequently sold StubHub (2020) and its classifieds business (2021), illustrating a break-up thesis realized through negotiated divestiture rather than a contested board vote.</w:t>
      </w:r>
    </w:p>
    <w:p w14:paraId="170ED6F9" w14:textId="77777777" w:rsidR="000A2EB2" w:rsidRDefault="00000000">
      <w:pPr>
        <w:pStyle w:val="Heading2"/>
      </w:pPr>
      <w:r>
        <w:t>31.7 Bluebell Capital Partners vs. Danone (2021)</w:t>
      </w:r>
    </w:p>
    <w:p w14:paraId="2F59DA5C" w14:textId="77777777" w:rsidR="000A2EB2" w:rsidRDefault="00000000">
      <w:r>
        <w:t>A small European activist fund, Bluebell Capital Partners, publicly criticized Danone's dual-CEO/Chairman structure and capital-allocation discipline; Danone's board removed CEO Emmanuel Faber shortly after Bluebell's public campaign, illustrating that even a very small European activist fund can achieve significant governance change at a large-cap target through public pressure, consistent with the continental European activism dynamics discussed in Part XVI, section 16.2.</w:t>
      </w:r>
    </w:p>
    <w:p w14:paraId="251AD556" w14:textId="0030FEE8" w:rsidR="000A2EB2" w:rsidRDefault="00000000">
      <w:pPr>
        <w:pStyle w:val="Heading1"/>
      </w:pPr>
      <w:r>
        <w:t>Part X</w:t>
      </w:r>
      <w:r w:rsidR="00FC0D99">
        <w:t>XIII</w:t>
      </w:r>
      <w:r>
        <w:t xml:space="preserve"> -- Final Integrative Discussion Question Set</w:t>
      </w:r>
    </w:p>
    <w:p w14:paraId="11771CE3" w14:textId="77777777" w:rsidR="000A2EB2" w:rsidRDefault="00000000">
      <w:r>
        <w:t>This final set of ten integrative questions is intended for use as a comprehensive final-session discussion or as the basis for a takeaway written reflection, requiring students to draw on material from across the full breadth of this reader rather than any single Part.</w:t>
      </w:r>
    </w:p>
    <w:p w14:paraId="219BDF5F" w14:textId="77777777" w:rsidR="000A2EB2" w:rsidRDefault="00000000">
      <w:r>
        <w:t>1. Trace the complete free-rider-to-solution chain developed in this reader: state Grossman &amp; Hart's (1980) original free-rider problem, explain how concentrated hedge fund ownership (Part VII, section 7.1) solves it, explain how wolf-pack coordination (section 7.3) provides a partial alternative solution, and explain how the Engine No. 1/ExxonMobil case (8.8) represents a third, structurally distinct solution mobilizing existing passive ownership. Which of these three mechanisms do you expect to become more or less important over the next decade, and why?</w:t>
      </w:r>
    </w:p>
    <w:p w14:paraId="73D50E1C" w14:textId="77777777" w:rsidR="000A2EB2" w:rsidRDefault="00000000">
      <w:r>
        <w:t>2. This reader argues that dual-class shares, pyramidal structures, and state control (Part IX) each foreclose conventional activism by different specific mechanisms. If you were advising a policymaker on whether to restrict any of these three ownership structures in the name of activism-enabling minority protection, which would you prioritize restricting first, and what would you weigh against the La Porta et al. (1999) finding that concentrated ownership often substitutes for weak legal protection rather than simply expropriating minority shareholders?</w:t>
      </w:r>
    </w:p>
    <w:p w14:paraId="4F8B36C4" w14:textId="77777777" w:rsidR="000A2EB2" w:rsidRDefault="00000000">
      <w:r>
        <w:t>3. Compare the SEC's 2022 universal proxy card rule (Part VII, section 7.6) and its 2023 beneficial ownership reporting modernization (Part XV, section 15.3). Both are regulatory responses to perceived activist-related market failures, but one (universal proxy) arguably favors activists while the other (shortened 13D deadlines) arguably favors targets. Is this an internally consistent regulatory philosophy, or does it reflect two different, potentially conflicting policy objectives?</w:t>
      </w:r>
    </w:p>
    <w:p w14:paraId="2AC0DAF1" w14:textId="77777777" w:rsidR="000A2EB2" w:rsidRDefault="00000000">
      <w:r>
        <w:t>4. Using the sector deep-dives in Part XIX, explain why the same activist fund (for example, Elliott Management, profiled in Part XIV, section 14.1) might pursue meaningfully different tactics at a technology target versus a financial-institution target, with specific reference to the Regulation Y 10% presumption-of-control threshold discussed in Part XIX, section 19.4.</w:t>
      </w:r>
    </w:p>
    <w:p w14:paraId="439C0BF1" w14:textId="77777777" w:rsidR="000A2EB2" w:rsidRDefault="00000000">
      <w:r>
        <w:t xml:space="preserve">5. Kahan &amp; Rock (2007) and the stakeholder-impact discussion in Part XXXIII both raise the possibility that activist time horizons are shorter than optimal for long-run value, including non-shareholder stakeholder value. Design an empirical test (using data you would need to collect) that could distinguish whether a </w:t>
      </w:r>
      <w:r>
        <w:lastRenderedPageBreak/>
        <w:t>specific activist campaign's board-seat holders exited the position before or after the company's workforce and community adjustment costs were fully realized.</w:t>
      </w:r>
    </w:p>
    <w:p w14:paraId="548305D3" w14:textId="77777777" w:rsidR="000A2EB2" w:rsidRDefault="00000000">
      <w:r>
        <w:t>6. The Trian/P&amp;G (8.9) and Trian/Disney (8.10) cases produced opposite outcomes for structurally similar campaigns. Now compare these to the Starboard/Darden (8.3) full-slate win. What single variable -- board responsiveness narrative, staggered-board status, universal proxy mechanics, or nominee-slate size -- do you believe best explains the pattern across all three cases, and how would you test your hypothesis using additional cases from Part XXIII or Part XXXI?</w:t>
      </w:r>
    </w:p>
    <w:p w14:paraId="4183515C" w14:textId="77777777" w:rsidR="000A2EB2" w:rsidRDefault="00000000">
      <w:r>
        <w:t>7. If Koç Holding (Part VI, section 6.1) voluntarily eliminated its dual-class structure tomorrow, using the H1 2026 U.S. success-rate data (Part II, Table 1) as a rough benchmark, would you expect Koç Holding to face an activist campaign within the following five years? What features of Koç Holding's business (conglomerate structure, listed subsidiary portfolio per Part XXVII) would make it an attractive break-up or governance-reform target under the demand-type taxonomy of Part II, section 2.1?</w:t>
      </w:r>
    </w:p>
    <w:p w14:paraId="65D50ADD" w14:textId="77777777" w:rsidR="000A2EB2" w:rsidRDefault="00000000">
      <w:r>
        <w:t>8. This reader's historical arc (Part XIII) moves from 1980s control-acquisition raiding, to 1990s pension-fund proposal-based activism, to 2000s-2010s hedge fund minority-stake activism, to 2020s ESG/wolf-pack/universal-proxy activism. Extrapolate this arc: what do you predict will be the dominant activism archetype of the 2030s, and which specific 2020s-era development (universal proxy, AI-driven screening per Part XXX, ESG-linked campaigns per Part VII section 7.8, or the Japan capital-efficiency wave per Part XVI section 16.3) do you expect to be most consequential in shaping it?</w:t>
      </w:r>
    </w:p>
    <w:p w14:paraId="390EB553" w14:textId="77777777" w:rsidR="000A2EB2" w:rsidRDefault="00000000">
      <w:r>
        <w:t>9. A sovereign wealth fund (Part XXXIX) is simultaneously a controlling shareholder insulating some portfolio companies from activism and a large passive shareholder whose votes are actively solicited by activists at other companies. Is this dual role a coherent institutional position, or does it create a governance inconsistency the SWF itself should address through a more uniform stewardship policy?</w:t>
      </w:r>
    </w:p>
    <w:p w14:paraId="044F005B" w14:textId="77777777" w:rsidR="000A2EB2" w:rsidRDefault="00000000">
      <w:r>
        <w:t>10. Having read all forty Parts of this reader, articulate in your own words the single most important structural insight linking Grossman &amp; Hart's (1980) free-rider theory (Part I, section 1.3; Part VII, section 7.1) to the Koç Holding, Sabancı Holding, and THY case analysis (Part VI; Part IX). Then explain why this insight is directly relevant to your own professional context, whether or not you currently work at a family-controlled, state-controlled, or dispersedly-owned company.</w:t>
      </w:r>
    </w:p>
    <w:p w14:paraId="65CD564F" w14:textId="77777777" w:rsidR="000A2EB2" w:rsidRDefault="00000000">
      <w:r>
        <w:br w:type="page"/>
      </w:r>
    </w:p>
    <w:p w14:paraId="1174F7D5" w14:textId="77777777" w:rsidR="000A2EB2" w:rsidRDefault="00000000">
      <w:pPr>
        <w:pStyle w:val="Heading2"/>
      </w:pPr>
      <w:r>
        <w:lastRenderedPageBreak/>
        <w:t>49.4 Discussion Questions</w:t>
      </w:r>
    </w:p>
    <w:p w14:paraId="4F5465C5" w14:textId="77777777" w:rsidR="000A2EB2" w:rsidRDefault="00000000">
      <w:r>
        <w:t>1. If you were a portfolio manager at an Elliott- or Third Point-style fund evaluating whether to build a stake in Koc Holding, Sabanci Holding, or THY, which of the three would you screen out first, and why, using the Stage 1 retooled screening criteria in section 49.1?</w:t>
      </w:r>
    </w:p>
    <w:p w14:paraId="73D103AA" w14:textId="77777777" w:rsidR="000A2EB2" w:rsidRDefault="00000000">
      <w:r>
        <w:t>2. Table 6 lists 'related-party-transaction votes under CMB rules' as a theoretical leverage point at Koc Holding. Using Part XXVI, section 26.1, explain the specific voting mechanism (majority-of-minority) that makes this a genuine, if narrow, source of minority-shareholder leverage, and contrast it with a standard U.S. say-on-pay vote's lack of binding effect.</w:t>
      </w:r>
    </w:p>
    <w:p w14:paraId="34868D71" w14:textId="77777777" w:rsidR="000A2EB2" w:rsidRDefault="00000000">
      <w:r>
        <w:t>3. THY's realistic demand types (Table 6) explicitly exclude privatization or CEO-removal demands. Using the sovereign-wealth-fund control logic from Part VI, section 6.3, explain why a climate-transition or fleet-efficiency demand is more likely to gain traction with TVF than a pure shareholder-value demand, even though TVF is nominally a profit-motivated investor.</w:t>
      </w:r>
    </w:p>
    <w:p w14:paraId="28ECE51E" w14:textId="77777777" w:rsidR="000A2EB2" w:rsidRDefault="00000000">
      <w:r>
        <w:t>4. Design a one-page investor letter that an activist fund could realistically send to Sabanci Holding's board, drawing only on the 'realistic demand types' column of Table 6 and explicitly building on the family's own 2025 non-family Chair precedent (Part VI, section 6.2) as a rhetorical anchor.</w:t>
      </w:r>
    </w:p>
    <w:sectPr w:rsidR="000A2EB2">
      <w:footerReference w:type="even" r:id="rId11"/>
      <w:footerReference w:type="default" r:id="rId12"/>
      <w:footerReference w:type="first" r:id="rId13"/>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E3A1" w14:textId="77777777" w:rsidR="00E068D2" w:rsidRDefault="00E068D2" w:rsidP="00FC0D99">
      <w:pPr>
        <w:spacing w:after="0" w:line="240" w:lineRule="auto"/>
      </w:pPr>
      <w:r>
        <w:separator/>
      </w:r>
    </w:p>
  </w:endnote>
  <w:endnote w:type="continuationSeparator" w:id="0">
    <w:p w14:paraId="5B760116" w14:textId="77777777" w:rsidR="00E068D2" w:rsidRDefault="00E068D2" w:rsidP="00FC0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B830" w14:textId="138E658D" w:rsidR="00FC0D99" w:rsidRDefault="00FC0D99">
    <w:pPr>
      <w:pStyle w:val="Footer"/>
    </w:pPr>
    <w:r>
      <w:rPr>
        <w:noProof/>
      </w:rPr>
      <mc:AlternateContent>
        <mc:Choice Requires="wps">
          <w:drawing>
            <wp:anchor distT="0" distB="0" distL="0" distR="0" simplePos="0" relativeHeight="251659264" behindDoc="0" locked="0" layoutInCell="1" allowOverlap="1" wp14:anchorId="58DA8612" wp14:editId="5675C749">
              <wp:simplePos x="635" y="635"/>
              <wp:positionH relativeFrom="page">
                <wp:align>left</wp:align>
              </wp:positionH>
              <wp:positionV relativeFrom="page">
                <wp:align>bottom</wp:align>
              </wp:positionV>
              <wp:extent cx="515620" cy="333375"/>
              <wp:effectExtent l="0" t="0" r="17780" b="0"/>
              <wp:wrapNone/>
              <wp:docPr id="716720849" name="Text Box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33375"/>
                      </a:xfrm>
                      <a:prstGeom prst="rect">
                        <a:avLst/>
                      </a:prstGeom>
                      <a:noFill/>
                      <a:ln>
                        <a:noFill/>
                      </a:ln>
                    </wps:spPr>
                    <wps:txbx>
                      <w:txbxContent>
                        <w:p w14:paraId="71EC411B" w14:textId="0F8AAFAF" w:rsidR="00FC0D99" w:rsidRPr="00FC0D99" w:rsidRDefault="00FC0D99" w:rsidP="00FC0D99">
                          <w:pPr>
                            <w:spacing w:after="0"/>
                            <w:rPr>
                              <w:rFonts w:ascii="Aptos" w:eastAsia="Aptos" w:hAnsi="Aptos" w:cs="Aptos"/>
                              <w:noProof/>
                              <w:sz w:val="16"/>
                              <w:szCs w:val="16"/>
                            </w:rPr>
                          </w:pPr>
                          <w:r w:rsidRPr="00FC0D99">
                            <w:rPr>
                              <w:rFonts w:ascii="Aptos" w:eastAsia="Aptos" w:hAnsi="Aptos" w:cs="Aptos"/>
                              <w:noProof/>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DA8612" id="_x0000_t202" coordsize="21600,21600" o:spt="202" path="m,l,21600r21600,l21600,xe">
              <v:stroke joinstyle="miter"/>
              <v:path gradientshapeok="t" o:connecttype="rect"/>
            </v:shapetype>
            <v:shape id="Text Box 2" o:spid="_x0000_s1026" type="#_x0000_t202" alt="Genel" style="position:absolute;margin-left:0;margin-top:0;width:40.6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" filled="f" stroked="f">
              <v:fill o:detectmouseclick="t"/>
              <v:textbox style="mso-fit-shape-to-text:t" inset="20pt,0,0,15pt">
                <w:txbxContent>
                  <w:p w14:paraId="71EC411B" w14:textId="0F8AAFAF" w:rsidR="00FC0D99" w:rsidRPr="00FC0D99" w:rsidRDefault="00FC0D99" w:rsidP="00FC0D99">
                    <w:pPr>
                      <w:spacing w:after="0"/>
                      <w:rPr>
                        <w:rFonts w:ascii="Aptos" w:eastAsia="Aptos" w:hAnsi="Aptos" w:cs="Aptos"/>
                        <w:noProof/>
                        <w:sz w:val="16"/>
                        <w:szCs w:val="16"/>
                      </w:rPr>
                    </w:pPr>
                    <w:r w:rsidRPr="00FC0D99">
                      <w:rPr>
                        <w:rFonts w:ascii="Aptos" w:eastAsia="Aptos" w:hAnsi="Aptos" w:cs="Aptos"/>
                        <w:noProof/>
                        <w:sz w:val="16"/>
                        <w:szCs w:val="16"/>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C5207" w14:textId="4A307B51" w:rsidR="00FC0D99" w:rsidRDefault="00FC0D99">
    <w:pPr>
      <w:pStyle w:val="Footer"/>
    </w:pPr>
    <w:r>
      <w:rPr>
        <w:noProof/>
      </w:rPr>
      <mc:AlternateContent>
        <mc:Choice Requires="wps">
          <w:drawing>
            <wp:anchor distT="0" distB="0" distL="0" distR="0" simplePos="0" relativeHeight="251660288" behindDoc="0" locked="0" layoutInCell="1" allowOverlap="1" wp14:anchorId="40F7B974" wp14:editId="4412FD36">
              <wp:simplePos x="800100" y="9439275"/>
              <wp:positionH relativeFrom="page">
                <wp:align>left</wp:align>
              </wp:positionH>
              <wp:positionV relativeFrom="page">
                <wp:align>bottom</wp:align>
              </wp:positionV>
              <wp:extent cx="515620" cy="333375"/>
              <wp:effectExtent l="0" t="0" r="17780" b="0"/>
              <wp:wrapNone/>
              <wp:docPr id="2006431693" name="Text Box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33375"/>
                      </a:xfrm>
                      <a:prstGeom prst="rect">
                        <a:avLst/>
                      </a:prstGeom>
                      <a:noFill/>
                      <a:ln>
                        <a:noFill/>
                      </a:ln>
                    </wps:spPr>
                    <wps:txbx>
                      <w:txbxContent>
                        <w:p w14:paraId="0A1BDCB2" w14:textId="69EE3F06" w:rsidR="00FC0D99" w:rsidRPr="00FC0D99" w:rsidRDefault="00FC0D99" w:rsidP="00FC0D99">
                          <w:pPr>
                            <w:spacing w:after="0"/>
                            <w:rPr>
                              <w:rFonts w:ascii="Aptos" w:eastAsia="Aptos" w:hAnsi="Aptos" w:cs="Aptos"/>
                              <w:noProof/>
                              <w:sz w:val="16"/>
                              <w:szCs w:val="16"/>
                            </w:rPr>
                          </w:pPr>
                          <w:r w:rsidRPr="00FC0D99">
                            <w:rPr>
                              <w:rFonts w:ascii="Aptos" w:eastAsia="Aptos" w:hAnsi="Aptos" w:cs="Aptos"/>
                              <w:noProof/>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F7B974" id="_x0000_t202" coordsize="21600,21600" o:spt="202" path="m,l,21600r21600,l21600,xe">
              <v:stroke joinstyle="miter"/>
              <v:path gradientshapeok="t" o:connecttype="rect"/>
            </v:shapetype>
            <v:shape id="Text Box 3" o:spid="_x0000_s1027" type="#_x0000_t202" alt="Genel" style="position:absolute;margin-left:0;margin-top:0;width:40.6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" filled="f" stroked="f">
              <v:fill o:detectmouseclick="t"/>
              <v:textbox style="mso-fit-shape-to-text:t" inset="20pt,0,0,15pt">
                <w:txbxContent>
                  <w:p w14:paraId="0A1BDCB2" w14:textId="69EE3F06" w:rsidR="00FC0D99" w:rsidRPr="00FC0D99" w:rsidRDefault="00FC0D99" w:rsidP="00FC0D99">
                    <w:pPr>
                      <w:spacing w:after="0"/>
                      <w:rPr>
                        <w:rFonts w:ascii="Aptos" w:eastAsia="Aptos" w:hAnsi="Aptos" w:cs="Aptos"/>
                        <w:noProof/>
                        <w:sz w:val="16"/>
                        <w:szCs w:val="16"/>
                      </w:rPr>
                    </w:pPr>
                    <w:r w:rsidRPr="00FC0D99">
                      <w:rPr>
                        <w:rFonts w:ascii="Aptos" w:eastAsia="Aptos" w:hAnsi="Aptos" w:cs="Aptos"/>
                        <w:noProof/>
                        <w:sz w:val="16"/>
                        <w:szCs w:val="16"/>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1C8A" w14:textId="5CF73FCB" w:rsidR="00FC0D99" w:rsidRDefault="00FC0D99">
    <w:pPr>
      <w:pStyle w:val="Footer"/>
    </w:pPr>
    <w:r>
      <w:rPr>
        <w:noProof/>
      </w:rPr>
      <mc:AlternateContent>
        <mc:Choice Requires="wps">
          <w:drawing>
            <wp:anchor distT="0" distB="0" distL="0" distR="0" simplePos="0" relativeHeight="251658240" behindDoc="0" locked="0" layoutInCell="1" allowOverlap="1" wp14:anchorId="145744C3" wp14:editId="28149C77">
              <wp:simplePos x="635" y="635"/>
              <wp:positionH relativeFrom="page">
                <wp:align>left</wp:align>
              </wp:positionH>
              <wp:positionV relativeFrom="page">
                <wp:align>bottom</wp:align>
              </wp:positionV>
              <wp:extent cx="515620" cy="333375"/>
              <wp:effectExtent l="0" t="0" r="17780" b="0"/>
              <wp:wrapNone/>
              <wp:docPr id="61220297" name="Text Box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5620" cy="333375"/>
                      </a:xfrm>
                      <a:prstGeom prst="rect">
                        <a:avLst/>
                      </a:prstGeom>
                      <a:noFill/>
                      <a:ln>
                        <a:noFill/>
                      </a:ln>
                    </wps:spPr>
                    <wps:txbx>
                      <w:txbxContent>
                        <w:p w14:paraId="274E02D9" w14:textId="76CFFDC5" w:rsidR="00FC0D99" w:rsidRPr="00FC0D99" w:rsidRDefault="00FC0D99" w:rsidP="00FC0D99">
                          <w:pPr>
                            <w:spacing w:after="0"/>
                            <w:rPr>
                              <w:rFonts w:ascii="Aptos" w:eastAsia="Aptos" w:hAnsi="Aptos" w:cs="Aptos"/>
                              <w:noProof/>
                              <w:sz w:val="16"/>
                              <w:szCs w:val="16"/>
                            </w:rPr>
                          </w:pPr>
                          <w:r w:rsidRPr="00FC0D99">
                            <w:rPr>
                              <w:rFonts w:ascii="Aptos" w:eastAsia="Aptos" w:hAnsi="Aptos" w:cs="Aptos"/>
                              <w:noProof/>
                              <w:sz w:val="16"/>
                              <w:szCs w:val="16"/>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5744C3" id="_x0000_t202" coordsize="21600,21600" o:spt="202" path="m,l,21600r21600,l21600,xe">
              <v:stroke joinstyle="miter"/>
              <v:path gradientshapeok="t" o:connecttype="rect"/>
            </v:shapetype>
            <v:shape id="Text Box 1" o:spid="_x0000_s1028" type="#_x0000_t202" alt="Genel" style="position:absolute;margin-left:0;margin-top:0;width:40.6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" filled="f" stroked="f">
              <v:fill o:detectmouseclick="t"/>
              <v:textbox style="mso-fit-shape-to-text:t" inset="20pt,0,0,15pt">
                <w:txbxContent>
                  <w:p w14:paraId="274E02D9" w14:textId="76CFFDC5" w:rsidR="00FC0D99" w:rsidRPr="00FC0D99" w:rsidRDefault="00FC0D99" w:rsidP="00FC0D99">
                    <w:pPr>
                      <w:spacing w:after="0"/>
                      <w:rPr>
                        <w:rFonts w:ascii="Aptos" w:eastAsia="Aptos" w:hAnsi="Aptos" w:cs="Aptos"/>
                        <w:noProof/>
                        <w:sz w:val="16"/>
                        <w:szCs w:val="16"/>
                      </w:rPr>
                    </w:pPr>
                    <w:r w:rsidRPr="00FC0D99">
                      <w:rPr>
                        <w:rFonts w:ascii="Aptos" w:eastAsia="Aptos" w:hAnsi="Aptos" w:cs="Aptos"/>
                        <w:noProof/>
                        <w:sz w:val="16"/>
                        <w:szCs w:val="16"/>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E9CE" w14:textId="77777777" w:rsidR="00E068D2" w:rsidRDefault="00E068D2" w:rsidP="00FC0D99">
      <w:pPr>
        <w:spacing w:after="0" w:line="240" w:lineRule="auto"/>
      </w:pPr>
      <w:r>
        <w:separator/>
      </w:r>
    </w:p>
  </w:footnote>
  <w:footnote w:type="continuationSeparator" w:id="0">
    <w:p w14:paraId="64C9BD51" w14:textId="77777777" w:rsidR="00E068D2" w:rsidRDefault="00E068D2" w:rsidP="00FC0D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5B5342"/>
    <w:multiLevelType w:val="hybridMultilevel"/>
    <w:tmpl w:val="D7A6B60C"/>
    <w:lvl w:ilvl="0" w:tplc="86ECA088">
      <w:start w:val="1"/>
      <w:numFmt w:val="bullet"/>
      <w:lvlText w:val="●"/>
      <w:lvlJc w:val="left"/>
      <w:pPr>
        <w:ind w:left="720" w:hanging="360"/>
      </w:pPr>
    </w:lvl>
    <w:lvl w:ilvl="1" w:tplc="085E648C">
      <w:start w:val="1"/>
      <w:numFmt w:val="bullet"/>
      <w:lvlText w:val="○"/>
      <w:lvlJc w:val="left"/>
      <w:pPr>
        <w:ind w:left="1440" w:hanging="360"/>
      </w:pPr>
    </w:lvl>
    <w:lvl w:ilvl="2" w:tplc="E2EAE8FC">
      <w:start w:val="1"/>
      <w:numFmt w:val="bullet"/>
      <w:lvlText w:val="■"/>
      <w:lvlJc w:val="left"/>
      <w:pPr>
        <w:ind w:left="2160" w:hanging="360"/>
      </w:pPr>
    </w:lvl>
    <w:lvl w:ilvl="3" w:tplc="A0822540">
      <w:start w:val="1"/>
      <w:numFmt w:val="bullet"/>
      <w:lvlText w:val="●"/>
      <w:lvlJc w:val="left"/>
      <w:pPr>
        <w:ind w:left="2880" w:hanging="360"/>
      </w:pPr>
    </w:lvl>
    <w:lvl w:ilvl="4" w:tplc="734A7632">
      <w:start w:val="1"/>
      <w:numFmt w:val="bullet"/>
      <w:lvlText w:val="○"/>
      <w:lvlJc w:val="left"/>
      <w:pPr>
        <w:ind w:left="3600" w:hanging="360"/>
      </w:pPr>
    </w:lvl>
    <w:lvl w:ilvl="5" w:tplc="ED1CE776">
      <w:start w:val="1"/>
      <w:numFmt w:val="bullet"/>
      <w:lvlText w:val="■"/>
      <w:lvlJc w:val="left"/>
      <w:pPr>
        <w:ind w:left="4320" w:hanging="360"/>
      </w:pPr>
    </w:lvl>
    <w:lvl w:ilvl="6" w:tplc="34E45DCA">
      <w:start w:val="1"/>
      <w:numFmt w:val="bullet"/>
      <w:lvlText w:val="●"/>
      <w:lvlJc w:val="left"/>
      <w:pPr>
        <w:ind w:left="5040" w:hanging="360"/>
      </w:pPr>
    </w:lvl>
    <w:lvl w:ilvl="7" w:tplc="9C6C85C0">
      <w:start w:val="1"/>
      <w:numFmt w:val="bullet"/>
      <w:lvlText w:val="●"/>
      <w:lvlJc w:val="left"/>
      <w:pPr>
        <w:ind w:left="5760" w:hanging="360"/>
      </w:pPr>
    </w:lvl>
    <w:lvl w:ilvl="8" w:tplc="8B6E7604">
      <w:start w:val="1"/>
      <w:numFmt w:val="bullet"/>
      <w:lvlText w:val="●"/>
      <w:lvlJc w:val="left"/>
      <w:pPr>
        <w:ind w:left="6480" w:hanging="360"/>
      </w:pPr>
    </w:lvl>
  </w:abstractNum>
  <w:num w:numId="1" w16cid:durableId="13984735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B2"/>
    <w:rsid w:val="000A2EB2"/>
    <w:rsid w:val="0064638C"/>
    <w:rsid w:val="00E068D2"/>
    <w:rsid w:val="00FC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2751"/>
  <w15:docId w15:val="{EC7A65F6-47F9-45C1-8632-445E2DB8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0" w:line="276" w:lineRule="auto"/>
    </w:pPr>
    <w:rPr>
      <w:color w:val="000000"/>
    </w:rPr>
  </w:style>
  <w:style w:type="paragraph" w:styleId="Heading1">
    <w:name w:val="heading 1"/>
    <w:basedOn w:val="Normal"/>
    <w:next w:val="Normal"/>
    <w:uiPriority w:val="9"/>
    <w:qFormat/>
    <w:pPr>
      <w:spacing w:before="240" w:after="160"/>
      <w:outlineLvl w:val="0"/>
    </w:pPr>
    <w:rPr>
      <w:b/>
      <w:bCs/>
      <w:color w:val="1F3864"/>
      <w:sz w:val="34"/>
      <w:szCs w:val="34"/>
    </w:rPr>
  </w:style>
  <w:style w:type="paragraph" w:styleId="Heading2">
    <w:name w:val="heading 2"/>
    <w:basedOn w:val="Normal"/>
    <w:next w:val="Normal"/>
    <w:uiPriority w:val="9"/>
    <w:unhideWhenUsed/>
    <w:qFormat/>
    <w:pPr>
      <w:spacing w:before="200" w:after="140"/>
      <w:outlineLvl w:val="1"/>
    </w:pPr>
    <w:rPr>
      <w:b/>
      <w:bCs/>
      <w:color w:val="1F3864"/>
      <w:sz w:val="27"/>
      <w:szCs w:val="27"/>
    </w:rPr>
  </w:style>
  <w:style w:type="paragraph" w:styleId="Heading3">
    <w:name w:val="heading 3"/>
    <w:basedOn w:val="Normal"/>
    <w:next w:val="Normal"/>
    <w:uiPriority w:val="9"/>
    <w:unhideWhenUsed/>
    <w:qFormat/>
    <w:pPr>
      <w:spacing w:before="160" w:after="120"/>
      <w:outlineLvl w:val="2"/>
    </w:pPr>
    <w:rPr>
      <w:b/>
      <w:bCs/>
      <w:color w:val="1F3864"/>
      <w:sz w:val="23"/>
      <w:szCs w:val="23"/>
    </w:rPr>
  </w:style>
  <w:style w:type="paragraph" w:styleId="Heading4">
    <w:name w:val="heading 4"/>
    <w:basedOn w:val="Normal"/>
    <w:next w:val="Normal"/>
    <w:uiPriority w:val="9"/>
    <w:semiHidden/>
    <w:unhideWhenUsed/>
    <w:qFormat/>
    <w:pPr>
      <w:outlineLvl w:val="3"/>
    </w:pPr>
    <w:rPr>
      <w:i/>
      <w:iCs/>
      <w:color w:val="2E74B5"/>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b/>
      <w:bCs/>
      <w:color w:val="1F3864"/>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TableHeader">
    <w:name w:val="Table Header"/>
    <w:basedOn w:val="Normal"/>
    <w:qFormat/>
    <w:pPr>
      <w:spacing w:after="60"/>
    </w:pPr>
    <w:rPr>
      <w:b/>
      <w:bCs/>
      <w:color w:val="1F3864"/>
    </w:rPr>
  </w:style>
  <w:style w:type="paragraph" w:styleId="Caption">
    <w:name w:val="caption"/>
    <w:basedOn w:val="Normal"/>
    <w:qFormat/>
    <w:rPr>
      <w:b/>
      <w:bCs/>
      <w:i/>
      <w:iCs/>
      <w:color w:val="1F3864"/>
      <w:sz w:val="20"/>
      <w:szCs w:val="20"/>
    </w:rPr>
  </w:style>
  <w:style w:type="paragraph" w:styleId="Footer">
    <w:name w:val="footer"/>
    <w:basedOn w:val="Normal"/>
    <w:link w:val="FooterChar"/>
    <w:uiPriority w:val="99"/>
    <w:unhideWhenUsed/>
    <w:rsid w:val="00FC0D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FC0D9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68</Pages>
  <Words>25979</Words>
  <Characters>157439</Characters>
  <Application>Microsoft Office Word</Application>
  <DocSecurity>0</DocSecurity>
  <Lines>2499</Lines>
  <Paragraphs>773</Paragraphs>
  <ScaleCrop>false</ScaleCrop>
  <Company/>
  <LinksUpToDate>false</LinksUpToDate>
  <CharactersWithSpaces>182645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Hakan GÖRAL</cp:lastModifiedBy>
  <cp:revision>2</cp:revision>
  <dcterms:created xsi:type="dcterms:W3CDTF">2026-07-16T20:24:00Z</dcterms:created>
  <dcterms:modified xsi:type="dcterms:W3CDTF">2026-07-18T07:39:00Z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3a625c9,2ab84ad1,7797b7cd</vt:lpwstr>
  </property>
  <property fmtid="{D5CDD505-2E9C-101B-9397-08002B2CF9AE}" pid="3" name="ClassificationContentMarkingFooterFontProps">
    <vt:lpwstr>#000000,8,Aptos</vt:lpwstr>
  </property>
  <property fmtid="{D5CDD505-2E9C-101B-9397-08002B2CF9AE}" pid="4" name="ClassificationContentMarkingFooterText">
    <vt:lpwstr>Genel</vt:lpwstr>
  </property>
  <property fmtid="{D5CDD505-2E9C-101B-9397-08002B2CF9AE}" pid="5" name="MSIP_Label_acff1a8a-89d5-4a8c-b5a7-ac0ac2e7842a_Enabled">
    <vt:lpwstr>true</vt:lpwstr>
  </property>
  <property fmtid="{D5CDD505-2E9C-101B-9397-08002B2CF9AE}" pid="6" name="MSIP_Label_acff1a8a-89d5-4a8c-b5a7-ac0ac2e7842a_SetDate">
    <vt:lpwstr>2026-07-18T07:39:47Z</vt:lpwstr>
  </property>
  <property fmtid="{D5CDD505-2E9C-101B-9397-08002B2CF9AE}" pid="7" name="MSIP_Label_acff1a8a-89d5-4a8c-b5a7-ac0ac2e7842a_Method">
    <vt:lpwstr>Standard</vt:lpwstr>
  </property>
  <property fmtid="{D5CDD505-2E9C-101B-9397-08002B2CF9AE}" pid="8" name="MSIP_Label_acff1a8a-89d5-4a8c-b5a7-ac0ac2e7842a_Name">
    <vt:lpwstr>Genel</vt:lpwstr>
  </property>
  <property fmtid="{D5CDD505-2E9C-101B-9397-08002B2CF9AE}" pid="9" name="MSIP_Label_acff1a8a-89d5-4a8c-b5a7-ac0ac2e7842a_SiteId">
    <vt:lpwstr>f39afd33-db8a-440d-bdb5-343eeee32707</vt:lpwstr>
  </property>
  <property fmtid="{D5CDD505-2E9C-101B-9397-08002B2CF9AE}" pid="10" name="MSIP_Label_acff1a8a-89d5-4a8c-b5a7-ac0ac2e7842a_ActionId">
    <vt:lpwstr>a1029c01-d309-4598-adba-0e6ea729cdb9</vt:lpwstr>
  </property>
  <property fmtid="{D5CDD505-2E9C-101B-9397-08002B2CF9AE}" pid="11" name="MSIP_Label_acff1a8a-89d5-4a8c-b5a7-ac0ac2e7842a_ContentBits">
    <vt:lpwstr>2</vt:lpwstr>
  </property>
  <property fmtid="{D5CDD505-2E9C-101B-9397-08002B2CF9AE}" pid="12" name="MSIP_Label_acff1a8a-89d5-4a8c-b5a7-ac0ac2e7842a_Tag">
    <vt:lpwstr>10, 3, 0, 1</vt:lpwstr>
  </property>
</Properties>
</file>