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00"/>
        <w:jc w:val="center"/>
      </w:pPr>
      <w:r>
        <w:rPr>
          <w:rFonts w:ascii="Georgia" w:cs="Georgia" w:eastAsia="Georgia" w:hAnsi="Georgia"/>
          <w:b/>
          <w:bCs/>
          <w:color w:val="B08D3D"/>
          <w:sz w:val="24"/>
          <w:szCs w:val="24"/>
        </w:rPr>
        <w:t xml:space="preserve">ADEX 547</w:t>
      </w:r>
    </w:p>
    <w:p>
      <w:pPr>
        <w:spacing w:after="100" w:before="80"/>
        <w:jc w:val="center"/>
      </w:pPr>
      <w:r>
        <w:rPr>
          <w:rFonts w:ascii="Calibri" w:cs="Calibri" w:eastAsia="Calibri" w:hAnsi="Calibri"/>
          <w:color w:val="5A5A5A"/>
          <w:sz w:val="20"/>
          <w:szCs w:val="20"/>
        </w:rPr>
        <w:t xml:space="preserve">Corporate Strategy, Portfolio and Investment Leadership</w:t>
      </w:r>
    </w:p>
    <w:p>
      <w:pPr>
        <w:pBdr>
          <w:top w:val="single" w:color="B08D3D" w:sz="4" w:space="6"/>
          <w:bottom w:val="single" w:color="B08D3D" w:sz="4" w:space="6"/>
        </w:pBdr>
        <w:spacing w:after="60" w:before="120"/>
      </w:pPr>
      <w:r>
        <w:rPr>
          <w:rFonts w:ascii="Georgia" w:cs="Georgia" w:eastAsia="Georgia" w:hAnsi="Georgia"/>
          <w:b/>
          <w:bCs/>
          <w:color w:val="0B1E39"/>
          <w:sz w:val="26"/>
          <w:szCs w:val="26"/>
        </w:rPr>
        <w:t xml:space="preserve">SESSION 4 STUDY GUIDE</w:t>
      </w:r>
    </w:p>
    <w:p>
      <w:pPr>
        <w:spacing w:after="60"/>
      </w:pPr>
      <w:r>
        <w:rPr>
          <w:rFonts w:ascii="Georgia" w:cs="Georgia" w:eastAsia="Georgia" w:hAnsi="Georgia"/>
          <w:b/>
          <w:bCs/>
          <w:color w:val="13294B"/>
          <w:sz w:val="24"/>
          <w:szCs w:val="24"/>
        </w:rPr>
        <w:t xml:space="preserve">Executive Dialogue II — Activist Investors, Portfolio Restructuring and Governance Tensions</w:t>
      </w:r>
    </w:p>
    <w:p>
      <w:pPr>
        <w:spacing w:after="260"/>
      </w:pPr>
      <w:r>
        <w:rPr>
          <w:rFonts w:ascii="Calibri" w:cs="Calibri" w:eastAsia="Calibri" w:hAnsi="Calibri"/>
          <w:i/>
          <w:iCs/>
          <w:color w:val="5A5A5A"/>
          <w:sz w:val="20"/>
          <w:szCs w:val="20"/>
        </w:rPr>
        <w:t xml:space="preserve">Format: Face-to-face (mandatory — Guest Senior Executive)</w:t>
      </w:r>
    </w:p>
    <w:p>
      <w:pPr>
        <w:pStyle w:val="Heading1"/>
        <w:pBdr>
          <w:bottom w:val="single" w:color="B08D3D" w:sz="6" w:space="4"/>
        </w:pBdr>
        <w:spacing w:after="150" w:before="300"/>
      </w:pPr>
      <w:r>
        <w:rPr>
          <w:rFonts w:ascii="Georgia" w:cs="Georgia" w:eastAsia="Georgia" w:hAnsi="Georgia"/>
          <w:b/>
          <w:bCs/>
          <w:color w:val="0B1E39"/>
          <w:sz w:val="28"/>
          <w:szCs w:val="28"/>
        </w:rPr>
        <w:t xml:space="preserve">1. What to Read Before This Session</w:t>
      </w:r>
    </w:p>
    <w:p>
      <w:pPr>
        <w:spacing w:after="130"/>
      </w:pPr>
      <w:r>
        <w:rPr>
          <w:rFonts w:ascii="Calibri" w:cs="Calibri" w:eastAsia="Calibri" w:hAnsi="Calibri"/>
          <w:color w:val="1A1A1A"/>
          <w:sz w:val="21"/>
          <w:szCs w:val="21"/>
        </w:rPr>
        <w:t xml:space="preserve">The Session 4 reader on governance and shareholder activism will be distributed ahead of the session. Read it before class with your assigned company's activist-simulation case (GW2) in mind.</w:t>
      </w:r>
    </w:p>
    <w:p>
      <w:pPr>
        <w:spacing w:after="130"/>
      </w:pPr>
      <w:r>
        <w:rPr>
          <w:rFonts w:ascii="Calibri" w:cs="Calibri" w:eastAsia="Calibri" w:hAnsi="Calibri"/>
          <w:b/>
          <w:bCs/>
          <w:color w:val="1A1A1A"/>
          <w:sz w:val="21"/>
          <w:szCs w:val="21"/>
        </w:rPr>
        <w:t xml:space="preserve">Selected readings on corporate governance and shareholder activism (Session 4 Reader — to be distributed closer to the date).</w:t>
      </w:r>
    </w:p>
    <w:p>
      <w:pPr>
        <w:spacing w:after="140" w:before="40"/>
      </w:pPr>
      <w:r>
        <w:rPr>
          <w:rFonts w:ascii="Calibri" w:cs="Calibri" w:eastAsia="Calibri" w:hAnsi="Calibri"/>
          <w:i/>
          <w:iCs/>
          <w:color w:val="5A5A5A"/>
          <w:sz w:val="20"/>
          <w:szCs w:val="20"/>
        </w:rPr>
        <w:t xml:space="preserve">Key sections to focus on:</w:t>
      </w:r>
    </w:p>
    <w:p>
      <w:pPr>
        <w:pStyle w:val="ListParagraph"/>
        <w:numPr>
          <w:ilvl w:val="0"/>
          <w:numId w:val="1"/>
        </w:numPr>
        <w:spacing w:after="90"/>
      </w:pPr>
      <w:r>
        <w:rPr>
          <w:rFonts w:ascii="Calibri" w:cs="Calibri" w:eastAsia="Calibri" w:hAnsi="Calibri"/>
          <w:color w:val="1A1A1A"/>
          <w:sz w:val="21"/>
          <w:szCs w:val="21"/>
        </w:rPr>
        <w:t xml:space="preserve">Minority shareholder rights and protections in concentrated-ownership structures.</w:t>
      </w:r>
    </w:p>
    <w:p>
      <w:pPr>
        <w:pStyle w:val="ListParagraph"/>
        <w:numPr>
          <w:ilvl w:val="0"/>
          <w:numId w:val="1"/>
        </w:numPr>
        <w:spacing w:after="90"/>
      </w:pPr>
      <w:r>
        <w:rPr>
          <w:rFonts w:ascii="Calibri" w:cs="Calibri" w:eastAsia="Calibri" w:hAnsi="Calibri"/>
          <w:color w:val="1A1A1A"/>
          <w:sz w:val="21"/>
          <w:szCs w:val="21"/>
        </w:rPr>
        <w:t xml:space="preserve">The mechanics and motives of activist investor campaigns: board seats, breakups, capital return demands.</w:t>
      </w:r>
    </w:p>
    <w:p>
      <w:pPr>
        <w:pStyle w:val="ListParagraph"/>
        <w:numPr>
          <w:ilvl w:val="0"/>
          <w:numId w:val="1"/>
        </w:numPr>
        <w:spacing w:after="90"/>
      </w:pPr>
      <w:r>
        <w:rPr>
          <w:rFonts w:ascii="Calibri" w:cs="Calibri" w:eastAsia="Calibri" w:hAnsi="Calibri"/>
          <w:color w:val="1A1A1A"/>
          <w:sz w:val="21"/>
          <w:szCs w:val="21"/>
        </w:rPr>
        <w:t xml:space="preserve">Board negotiation dynamics under public capital-market pressure.</w:t>
      </w:r>
    </w:p>
    <w:p>
      <w:pPr>
        <w:pStyle w:val="ListParagraph"/>
        <w:numPr>
          <w:ilvl w:val="0"/>
          <w:numId w:val="1"/>
        </w:numPr>
        <w:spacing w:after="90"/>
      </w:pPr>
      <w:r>
        <w:rPr>
          <w:rFonts w:ascii="Calibri" w:cs="Calibri" w:eastAsia="Calibri" w:hAnsi="Calibri"/>
          <w:color w:val="1A1A1A"/>
          <w:sz w:val="21"/>
          <w:szCs w:val="21"/>
        </w:rPr>
        <w:t xml:space="preserve">Strategic signalling: how boards and management communicate under scrutiny without triggering disclosure violations.</w:t>
      </w:r>
    </w:p>
    <w:p>
      <w:pPr>
        <w:pStyle w:val="Heading2"/>
        <w:spacing w:after="150" w:before="300"/>
      </w:pPr>
      <w:r>
        <w:rPr>
          <w:rFonts w:ascii="Georgia" w:cs="Georgia" w:eastAsia="Georgia" w:hAnsi="Georgia"/>
          <w:b/>
          <w:bCs/>
          <w:color w:val="13294B"/>
          <w:sz w:val="23"/>
          <w:szCs w:val="23"/>
        </w:rPr>
        <w:t xml:space="preserve">Relevant Chapters from the Reference Book List</w:t>
      </w:r>
    </w:p>
    <w:p>
      <w:pPr>
        <w:spacing w:after="130"/>
      </w:pPr>
      <w:r>
        <w:rPr>
          <w:rFonts w:ascii="Calibri" w:cs="Calibri" w:eastAsia="Calibri" w:hAnsi="Calibri"/>
          <w:color w:val="1A1A1A"/>
          <w:sz w:val="21"/>
          <w:szCs w:val="21"/>
        </w:rPr>
        <w:t xml:space="preserve">Do not read these books cover to cover — relevant chapters only.</w:t>
      </w:r>
    </w:p>
    <w:p>
      <w:pPr>
        <w:pStyle w:val="ListParagraph"/>
        <w:numPr>
          <w:ilvl w:val="0"/>
          <w:numId w:val="1"/>
        </w:numPr>
        <w:spacing w:after="90"/>
      </w:pPr>
      <w:r>
        <w:rPr>
          <w:rFonts w:ascii="Calibri" w:cs="Calibri" w:eastAsia="Calibri" w:hAnsi="Calibri"/>
          <w:color w:val="1A1A1A"/>
          <w:sz w:val="21"/>
          <w:szCs w:val="21"/>
        </w:rPr>
        <w:t xml:space="preserve">Hitt, Ireland &amp; Hoskisson, Strategic Management: Competitiveness and Globalization — relevant chapter(s) only.</w:t>
      </w:r>
    </w:p>
    <w:p>
      <w:pPr>
        <w:pStyle w:val="ListParagraph"/>
        <w:numPr>
          <w:ilvl w:val="0"/>
          <w:numId w:val="1"/>
        </w:numPr>
        <w:spacing w:after="90"/>
      </w:pPr>
      <w:r>
        <w:rPr>
          <w:rFonts w:ascii="Calibri" w:cs="Calibri" w:eastAsia="Calibri" w:hAnsi="Calibri"/>
          <w:color w:val="1A1A1A"/>
          <w:sz w:val="21"/>
          <w:szCs w:val="21"/>
        </w:rPr>
        <w:t xml:space="preserve">Haney &amp; Sirbasku, 40 Strategies for Winning in Business — relevant chapter(s) only.</w:t>
      </w:r>
    </w:p>
    <w:p>
      <w:pPr>
        <w:pStyle w:val="Heading1"/>
        <w:pBdr>
          <w:bottom w:val="single" w:color="B08D3D" w:sz="6" w:space="4"/>
        </w:pBdr>
        <w:spacing w:after="150" w:before="300"/>
      </w:pPr>
      <w:r>
        <w:rPr>
          <w:rFonts w:ascii="Georgia" w:cs="Georgia" w:eastAsia="Georgia" w:hAnsi="Georgia"/>
          <w:b/>
          <w:bCs/>
          <w:color w:val="0B1E39"/>
          <w:sz w:val="28"/>
          <w:szCs w:val="28"/>
        </w:rPr>
        <w:t xml:space="preserve">2. What Will Happen in Class</w:t>
      </w:r>
    </w:p>
    <w:p>
      <w:pPr>
        <w:spacing w:after="130"/>
      </w:pPr>
      <w:r>
        <w:rPr>
          <w:rFonts w:ascii="Calibri" w:cs="Calibri" w:eastAsia="Calibri" w:hAnsi="Calibri"/>
          <w:b/>
          <w:bCs/>
          <w:color w:val="1A1A1A"/>
          <w:sz w:val="21"/>
          <w:szCs w:val="21"/>
        </w:rPr>
        <w:t xml:space="preserve">Class Schedule</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700"/>
        <w:gridCol w:w="2600"/>
        <w:gridCol w:w="1400"/>
        <w:gridCol w:w="4600"/>
      </w:tblGrid>
      <w:tr>
        <w:trPr>
          <w:tblHeader/>
        </w:trPr>
        <w:tc>
          <w:tcPr>
            <w:shd w:fill="0B1E39" w:val="clear"/>
            <w:tcMar>
              <w:top w:type="dxa" w:w="90"/>
              <w:left w:type="dxa" w:w="120"/>
              <w:bottom w:type="dxa" w:w="90"/>
              <w:right w:type="dxa" w:w="120"/>
            </w:tcMar>
          </w:tcPr>
          <w:p>
            <w:pPr>
              <w:jc w:val="center"/>
            </w:pPr>
            <w:r>
              <w:rPr>
                <w:rFonts w:ascii="Calibri" w:cs="Calibri" w:eastAsia="Calibri" w:hAnsi="Calibri"/>
                <w:b/>
                <w:bCs/>
                <w:color w:val="FFFFFF"/>
                <w:sz w:val="19"/>
                <w:szCs w:val="19"/>
              </w:rPr>
              <w:t xml:space="preserve">#</w:t>
            </w:r>
          </w:p>
        </w:tc>
        <w:tc>
          <w:tcPr>
            <w:shd w:fill="0B1E39" w:val="clear"/>
            <w:tcMar>
              <w:top w:type="dxa" w:w="90"/>
              <w:left w:type="dxa" w:w="120"/>
              <w:bottom w:type="dxa" w:w="90"/>
              <w:right w:type="dxa" w:w="120"/>
            </w:tcMar>
          </w:tcPr>
          <w:p>
            <w:pPr>
              <w:jc w:val="left"/>
            </w:pPr>
            <w:r>
              <w:rPr>
                <w:rFonts w:ascii="Calibri" w:cs="Calibri" w:eastAsia="Calibri" w:hAnsi="Calibri"/>
                <w:b/>
                <w:bCs/>
                <w:color w:val="FFFFFF"/>
                <w:sz w:val="19"/>
                <w:szCs w:val="19"/>
              </w:rPr>
              <w:t xml:space="preserve">Step</w:t>
            </w:r>
          </w:p>
        </w:tc>
        <w:tc>
          <w:tcPr>
            <w:shd w:fill="0B1E39" w:val="clear"/>
            <w:tcMar>
              <w:top w:type="dxa" w:w="90"/>
              <w:left w:type="dxa" w:w="120"/>
              <w:bottom w:type="dxa" w:w="90"/>
              <w:right w:type="dxa" w:w="120"/>
            </w:tcMar>
          </w:tcPr>
          <w:p>
            <w:pPr>
              <w:jc w:val="center"/>
            </w:pPr>
            <w:r>
              <w:rPr>
                <w:rFonts w:ascii="Calibri" w:cs="Calibri" w:eastAsia="Calibri" w:hAnsi="Calibri"/>
                <w:b/>
                <w:bCs/>
                <w:color w:val="FFFFFF"/>
                <w:sz w:val="19"/>
                <w:szCs w:val="19"/>
              </w:rPr>
              <w:t xml:space="preserve">Time</w:t>
            </w:r>
          </w:p>
        </w:tc>
        <w:tc>
          <w:tcPr>
            <w:shd w:fill="0B1E39" w:val="clear"/>
            <w:tcMar>
              <w:top w:type="dxa" w:w="90"/>
              <w:left w:type="dxa" w:w="120"/>
              <w:bottom w:type="dxa" w:w="90"/>
              <w:right w:type="dxa" w:w="120"/>
            </w:tcMar>
          </w:tcPr>
          <w:p>
            <w:pPr>
              <w:jc w:val="left"/>
            </w:pPr>
            <w:r>
              <w:rPr>
                <w:rFonts w:ascii="Calibri" w:cs="Calibri" w:eastAsia="Calibri" w:hAnsi="Calibri"/>
                <w:b/>
                <w:bCs/>
                <w:color w:val="FFFFFF"/>
                <w:sz w:val="19"/>
                <w:szCs w:val="19"/>
              </w:rPr>
              <w:t xml:space="preserve">Activity</w:t>
            </w:r>
          </w:p>
        </w:tc>
      </w:tr>
      <w:tr>
        <w:tc>
          <w:tcPr>
            <w:tcW w:type="dxa" w:w="700"/>
            <w:shd w:fill="FFFFFF" w:val="clear"/>
            <w:tcMar>
              <w:top w:type="dxa" w:w="90"/>
              <w:left w:type="dxa" w:w="120"/>
              <w:bottom w:type="dxa" w:w="90"/>
              <w:right w:type="dxa" w:w="120"/>
            </w:tcMar>
          </w:tcPr>
          <w:p>
            <w:pPr>
              <w:jc w:val="center"/>
            </w:pPr>
            <w:r>
              <w:rPr>
                <w:rFonts w:ascii="Calibri" w:cs="Calibri" w:eastAsia="Calibri" w:hAnsi="Calibri"/>
                <w:b/>
                <w:bCs/>
                <w:color w:val="13294B"/>
                <w:sz w:val="19"/>
                <w:szCs w:val="19"/>
              </w:rPr>
              <w:t xml:space="preserve">1</w:t>
            </w:r>
          </w:p>
        </w:tc>
        <w:tc>
          <w:tcPr>
            <w:tcW w:type="dxa" w:w="2600"/>
            <w:shd w:fill="FFFFFF" w:val="clear"/>
            <w:tcMar>
              <w:top w:type="dxa" w:w="90"/>
              <w:left w:type="dxa" w:w="120"/>
              <w:bottom w:type="dxa" w:w="90"/>
              <w:right w:type="dxa" w:w="120"/>
            </w:tcMar>
          </w:tcPr>
          <w:p>
            <w:r>
              <w:rPr>
                <w:rFonts w:ascii="Calibri" w:cs="Calibri" w:eastAsia="Calibri" w:hAnsi="Calibri"/>
                <w:b/>
                <w:bCs/>
                <w:color w:val="1A1A1A"/>
                <w:sz w:val="19"/>
                <w:szCs w:val="19"/>
              </w:rPr>
              <w:t xml:space="preserve">Framing</w:t>
            </w:r>
          </w:p>
        </w:tc>
        <w:tc>
          <w:tcPr>
            <w:tcW w:type="dxa" w:w="1400"/>
            <w:shd w:fill="FFFFFF" w:val="clear"/>
            <w:tcMar>
              <w:top w:type="dxa" w:w="90"/>
              <w:left w:type="dxa" w:w="120"/>
              <w:bottom w:type="dxa" w:w="90"/>
              <w:right w:type="dxa" w:w="120"/>
            </w:tcMar>
          </w:tcPr>
          <w:p>
            <w:pPr>
              <w:jc w:val="center"/>
            </w:pPr>
            <w:r>
              <w:rPr>
                <w:rFonts w:ascii="Calibri" w:cs="Calibri" w:eastAsia="Calibri" w:hAnsi="Calibri"/>
                <w:i/>
                <w:iCs/>
                <w:color w:val="B08D3D"/>
                <w:sz w:val="19"/>
                <w:szCs w:val="19"/>
              </w:rPr>
              <w:t xml:space="preserve">~10 min</w:t>
            </w:r>
          </w:p>
        </w:tc>
        <w:tc>
          <w:tcPr>
            <w:tcW w:type="dxa" w:w="4600"/>
            <w:shd w:fill="FFFFFF" w:val="clear"/>
            <w:tcMar>
              <w:top w:type="dxa" w:w="90"/>
              <w:left w:type="dxa" w:w="120"/>
              <w:bottom w:type="dxa" w:w="90"/>
              <w:right w:type="dxa" w:w="120"/>
            </w:tcMar>
          </w:tcPr>
          <w:p>
            <w:r>
              <w:rPr>
                <w:rFonts w:ascii="Calibri" w:cs="Calibri" w:eastAsia="Calibri" w:hAnsi="Calibri"/>
                <w:color w:val="1A1A1A"/>
                <w:sz w:val="19"/>
                <w:szCs w:val="19"/>
              </w:rPr>
              <w:t xml:space="preserve">Today's session is framed as the live test of the activist case each team built in GW2.</w:t>
            </w:r>
          </w:p>
        </w:tc>
      </w:tr>
      <w:tr>
        <w:tc>
          <w:tcPr>
            <w:tcW w:type="dxa" w:w="700"/>
            <w:shd w:fill="F5F1E8" w:val="clear"/>
            <w:tcMar>
              <w:top w:type="dxa" w:w="90"/>
              <w:left w:type="dxa" w:w="120"/>
              <w:bottom w:type="dxa" w:w="90"/>
              <w:right w:type="dxa" w:w="120"/>
            </w:tcMar>
          </w:tcPr>
          <w:p>
            <w:pPr>
              <w:jc w:val="center"/>
            </w:pPr>
            <w:r>
              <w:rPr>
                <w:rFonts w:ascii="Calibri" w:cs="Calibri" w:eastAsia="Calibri" w:hAnsi="Calibri"/>
                <w:b/>
                <w:bCs/>
                <w:color w:val="13294B"/>
                <w:sz w:val="19"/>
                <w:szCs w:val="19"/>
              </w:rPr>
              <w:t xml:space="preserve">2</w:t>
            </w:r>
          </w:p>
        </w:tc>
        <w:tc>
          <w:tcPr>
            <w:tcW w:type="dxa" w:w="2600"/>
            <w:shd w:fill="F5F1E8" w:val="clear"/>
            <w:tcMar>
              <w:top w:type="dxa" w:w="90"/>
              <w:left w:type="dxa" w:w="120"/>
              <w:bottom w:type="dxa" w:w="90"/>
              <w:right w:type="dxa" w:w="120"/>
            </w:tcMar>
          </w:tcPr>
          <w:p>
            <w:r>
              <w:rPr>
                <w:rFonts w:ascii="Calibri" w:cs="Calibri" w:eastAsia="Calibri" w:hAnsi="Calibri"/>
                <w:b/>
                <w:bCs/>
                <w:color w:val="1A1A1A"/>
                <w:sz w:val="19"/>
                <w:szCs w:val="19"/>
              </w:rPr>
              <w:t xml:space="preserve">Guest executive presentation</w:t>
            </w:r>
          </w:p>
        </w:tc>
        <w:tc>
          <w:tcPr>
            <w:tcW w:type="dxa" w:w="1400"/>
            <w:shd w:fill="F5F1E8" w:val="clear"/>
            <w:tcMar>
              <w:top w:type="dxa" w:w="90"/>
              <w:left w:type="dxa" w:w="120"/>
              <w:bottom w:type="dxa" w:w="90"/>
              <w:right w:type="dxa" w:w="120"/>
            </w:tcMar>
          </w:tcPr>
          <w:p>
            <w:pPr>
              <w:jc w:val="center"/>
            </w:pPr>
            <w:r>
              <w:rPr>
                <w:rFonts w:ascii="Calibri" w:cs="Calibri" w:eastAsia="Calibri" w:hAnsi="Calibri"/>
                <w:i/>
                <w:iCs/>
                <w:color w:val="B08D3D"/>
                <w:sz w:val="19"/>
                <w:szCs w:val="19"/>
              </w:rPr>
              <w:t xml:space="preserve">~25 min</w:t>
            </w:r>
          </w:p>
        </w:tc>
        <w:tc>
          <w:tcPr>
            <w:tcW w:type="dxa" w:w="4600"/>
            <w:shd w:fill="F5F1E8" w:val="clear"/>
            <w:tcMar>
              <w:top w:type="dxa" w:w="90"/>
              <w:left w:type="dxa" w:w="120"/>
              <w:bottom w:type="dxa" w:w="90"/>
              <w:right w:type="dxa" w:w="120"/>
            </w:tcMar>
          </w:tcPr>
          <w:p>
            <w:r>
              <w:rPr>
                <w:rFonts w:ascii="Calibri" w:cs="Calibri" w:eastAsia="Calibri" w:hAnsi="Calibri"/>
                <w:color w:val="1A1A1A"/>
                <w:sz w:val="19"/>
                <w:szCs w:val="19"/>
              </w:rPr>
              <w:t xml:space="preserve">The guest executive presents a real restructuring, divestiture, or activist-pressure case, including how minority shareholder concerns and board negotiation processes actually played out.</w:t>
            </w:r>
          </w:p>
        </w:tc>
      </w:tr>
      <w:tr>
        <w:tc>
          <w:tcPr>
            <w:tcW w:type="dxa" w:w="700"/>
            <w:shd w:fill="FFFFFF" w:val="clear"/>
            <w:tcMar>
              <w:top w:type="dxa" w:w="90"/>
              <w:left w:type="dxa" w:w="120"/>
              <w:bottom w:type="dxa" w:w="90"/>
              <w:right w:type="dxa" w:w="120"/>
            </w:tcMar>
          </w:tcPr>
          <w:p>
            <w:pPr>
              <w:jc w:val="center"/>
            </w:pPr>
            <w:r>
              <w:rPr>
                <w:rFonts w:ascii="Calibri" w:cs="Calibri" w:eastAsia="Calibri" w:hAnsi="Calibri"/>
                <w:b/>
                <w:bCs/>
                <w:color w:val="13294B"/>
                <w:sz w:val="19"/>
                <w:szCs w:val="19"/>
              </w:rPr>
              <w:t xml:space="preserve">3</w:t>
            </w:r>
          </w:p>
        </w:tc>
        <w:tc>
          <w:tcPr>
            <w:tcW w:type="dxa" w:w="2600"/>
            <w:shd w:fill="FFFFFF" w:val="clear"/>
            <w:tcMar>
              <w:top w:type="dxa" w:w="90"/>
              <w:left w:type="dxa" w:w="120"/>
              <w:bottom w:type="dxa" w:w="90"/>
              <w:right w:type="dxa" w:w="120"/>
            </w:tcMar>
          </w:tcPr>
          <w:p>
            <w:r>
              <w:rPr>
                <w:rFonts w:ascii="Calibri" w:cs="Calibri" w:eastAsia="Calibri" w:hAnsi="Calibri"/>
                <w:b/>
                <w:bCs/>
                <w:color w:val="1A1A1A"/>
                <w:sz w:val="19"/>
                <w:szCs w:val="19"/>
              </w:rPr>
              <w:t xml:space="preserve">Q&amp;A on the guest case</w:t>
            </w:r>
          </w:p>
        </w:tc>
        <w:tc>
          <w:tcPr>
            <w:tcW w:type="dxa" w:w="1400"/>
            <w:shd w:fill="FFFFFF" w:val="clear"/>
            <w:tcMar>
              <w:top w:type="dxa" w:w="90"/>
              <w:left w:type="dxa" w:w="120"/>
              <w:bottom w:type="dxa" w:w="90"/>
              <w:right w:type="dxa" w:w="120"/>
            </w:tcMar>
          </w:tcPr>
          <w:p>
            <w:pPr>
              <w:jc w:val="center"/>
            </w:pPr>
            <w:r>
              <w:rPr>
                <w:rFonts w:ascii="Calibri" w:cs="Calibri" w:eastAsia="Calibri" w:hAnsi="Calibri"/>
                <w:i/>
                <w:iCs/>
                <w:color w:val="B08D3D"/>
                <w:sz w:val="19"/>
                <w:szCs w:val="19"/>
              </w:rPr>
              <w:t xml:space="preserve">~10 min</w:t>
            </w:r>
          </w:p>
        </w:tc>
        <w:tc>
          <w:tcPr>
            <w:tcW w:type="dxa" w:w="4600"/>
            <w:shd w:fill="FFFFFF" w:val="clear"/>
            <w:tcMar>
              <w:top w:type="dxa" w:w="90"/>
              <w:left w:type="dxa" w:w="120"/>
              <w:bottom w:type="dxa" w:w="90"/>
              <w:right w:type="dxa" w:w="120"/>
            </w:tcMar>
          </w:tcPr>
          <w:p>
            <w:r>
              <w:rPr>
                <w:rFonts w:ascii="Calibri" w:cs="Calibri" w:eastAsia="Calibri" w:hAnsi="Calibri"/>
                <w:color w:val="1A1A1A"/>
                <w:sz w:val="19"/>
                <w:szCs w:val="19"/>
              </w:rPr>
              <w:t xml:space="preserve">Open floor for direct questions to the guest executive.</w:t>
            </w:r>
          </w:p>
        </w:tc>
      </w:tr>
      <w:tr>
        <w:tc>
          <w:tcPr>
            <w:tcW w:type="dxa" w:w="700"/>
            <w:shd w:fill="F5F1E8" w:val="clear"/>
            <w:tcMar>
              <w:top w:type="dxa" w:w="90"/>
              <w:left w:type="dxa" w:w="120"/>
              <w:bottom w:type="dxa" w:w="90"/>
              <w:right w:type="dxa" w:w="120"/>
            </w:tcMar>
          </w:tcPr>
          <w:p>
            <w:pPr>
              <w:jc w:val="center"/>
            </w:pPr>
            <w:r>
              <w:rPr>
                <w:rFonts w:ascii="Calibri" w:cs="Calibri" w:eastAsia="Calibri" w:hAnsi="Calibri"/>
                <w:b/>
                <w:bCs/>
                <w:color w:val="13294B"/>
                <w:sz w:val="19"/>
                <w:szCs w:val="19"/>
              </w:rPr>
              <w:t xml:space="preserve">4</w:t>
            </w:r>
          </w:p>
        </w:tc>
        <w:tc>
          <w:tcPr>
            <w:tcW w:type="dxa" w:w="2600"/>
            <w:shd w:fill="F5F1E8" w:val="clear"/>
            <w:tcMar>
              <w:top w:type="dxa" w:w="90"/>
              <w:left w:type="dxa" w:w="120"/>
              <w:bottom w:type="dxa" w:w="90"/>
              <w:right w:type="dxa" w:w="120"/>
            </w:tcMar>
          </w:tcPr>
          <w:p>
            <w:r>
              <w:rPr>
                <w:rFonts w:ascii="Calibri" w:cs="Calibri" w:eastAsia="Calibri" w:hAnsi="Calibri"/>
                <w:b/>
                <w:bCs/>
                <w:color w:val="1A1A1A"/>
                <w:sz w:val="19"/>
                <w:szCs w:val="19"/>
              </w:rPr>
              <w:t xml:space="preserve">Governance negotiation simulation</w:t>
            </w:r>
          </w:p>
        </w:tc>
        <w:tc>
          <w:tcPr>
            <w:tcW w:type="dxa" w:w="1400"/>
            <w:shd w:fill="F5F1E8" w:val="clear"/>
            <w:tcMar>
              <w:top w:type="dxa" w:w="90"/>
              <w:left w:type="dxa" w:w="120"/>
              <w:bottom w:type="dxa" w:w="90"/>
              <w:right w:type="dxa" w:w="120"/>
            </w:tcMar>
          </w:tcPr>
          <w:p>
            <w:pPr>
              <w:jc w:val="center"/>
            </w:pPr>
            <w:r>
              <w:rPr>
                <w:rFonts w:ascii="Calibri" w:cs="Calibri" w:eastAsia="Calibri" w:hAnsi="Calibri"/>
                <w:i/>
                <w:iCs/>
                <w:color w:val="B08D3D"/>
                <w:sz w:val="19"/>
                <w:szCs w:val="19"/>
              </w:rPr>
              <w:t xml:space="preserve">~60 min</w:t>
            </w:r>
          </w:p>
        </w:tc>
        <w:tc>
          <w:tcPr>
            <w:tcW w:type="dxa" w:w="4600"/>
            <w:shd w:fill="F5F1E8" w:val="clear"/>
            <w:tcMar>
              <w:top w:type="dxa" w:w="90"/>
              <w:left w:type="dxa" w:w="120"/>
              <w:bottom w:type="dxa" w:w="90"/>
              <w:right w:type="dxa" w:w="120"/>
            </w:tcMar>
          </w:tcPr>
          <w:p>
            <w:r>
              <w:rPr>
                <w:rFonts w:ascii="Calibri" w:cs="Calibri" w:eastAsia="Calibri" w:hAnsi="Calibri"/>
                <w:color w:val="1A1A1A"/>
                <w:sz w:val="19"/>
                <w:szCs w:val="19"/>
              </w:rPr>
              <w:t xml:space="preserve">Each team, playing the activist investor using its GW2 case, negotiates live against the guest executive and the session's board panel. Expect multiple rounds: opening demands, a board counter-offer, and a revised position — exactly as a real activist campaign would unfold.</w:t>
            </w:r>
          </w:p>
        </w:tc>
      </w:tr>
      <w:tr>
        <w:tc>
          <w:tcPr>
            <w:tcW w:type="dxa" w:w="700"/>
            <w:shd w:fill="FFFFFF" w:val="clear"/>
            <w:tcMar>
              <w:top w:type="dxa" w:w="90"/>
              <w:left w:type="dxa" w:w="120"/>
              <w:bottom w:type="dxa" w:w="90"/>
              <w:right w:type="dxa" w:w="120"/>
            </w:tcMar>
          </w:tcPr>
          <w:p>
            <w:pPr>
              <w:jc w:val="center"/>
            </w:pPr>
            <w:r>
              <w:rPr>
                <w:rFonts w:ascii="Calibri" w:cs="Calibri" w:eastAsia="Calibri" w:hAnsi="Calibri"/>
                <w:b/>
                <w:bCs/>
                <w:color w:val="13294B"/>
                <w:sz w:val="19"/>
                <w:szCs w:val="19"/>
              </w:rPr>
              <w:t xml:space="preserve">5</w:t>
            </w:r>
          </w:p>
        </w:tc>
        <w:tc>
          <w:tcPr>
            <w:tcW w:type="dxa" w:w="2600"/>
            <w:shd w:fill="FFFFFF" w:val="clear"/>
            <w:tcMar>
              <w:top w:type="dxa" w:w="90"/>
              <w:left w:type="dxa" w:w="120"/>
              <w:bottom w:type="dxa" w:w="90"/>
              <w:right w:type="dxa" w:w="120"/>
            </w:tcMar>
          </w:tcPr>
          <w:p>
            <w:r>
              <w:rPr>
                <w:rFonts w:ascii="Calibri" w:cs="Calibri" w:eastAsia="Calibri" w:hAnsi="Calibri"/>
                <w:b/>
                <w:bCs/>
                <w:color w:val="1A1A1A"/>
                <w:sz w:val="19"/>
                <w:szCs w:val="19"/>
              </w:rPr>
              <w:t xml:space="preserve">Guest executive feedback</w:t>
            </w:r>
          </w:p>
        </w:tc>
        <w:tc>
          <w:tcPr>
            <w:tcW w:type="dxa" w:w="1400"/>
            <w:shd w:fill="FFFFFF" w:val="clear"/>
            <w:tcMar>
              <w:top w:type="dxa" w:w="90"/>
              <w:left w:type="dxa" w:w="120"/>
              <w:bottom w:type="dxa" w:w="90"/>
              <w:right w:type="dxa" w:w="120"/>
            </w:tcMar>
          </w:tcPr>
          <w:p>
            <w:pPr>
              <w:jc w:val="center"/>
            </w:pPr>
            <w:r>
              <w:rPr>
                <w:rFonts w:ascii="Calibri" w:cs="Calibri" w:eastAsia="Calibri" w:hAnsi="Calibri"/>
                <w:i/>
                <w:iCs/>
                <w:color w:val="B08D3D"/>
                <w:sz w:val="19"/>
                <w:szCs w:val="19"/>
              </w:rPr>
              <w:t xml:space="preserve">~10 min</w:t>
            </w:r>
          </w:p>
        </w:tc>
        <w:tc>
          <w:tcPr>
            <w:tcW w:type="dxa" w:w="4600"/>
            <w:shd w:fill="FFFFFF" w:val="clear"/>
            <w:tcMar>
              <w:top w:type="dxa" w:w="90"/>
              <w:left w:type="dxa" w:w="120"/>
              <w:bottom w:type="dxa" w:w="90"/>
              <w:right w:type="dxa" w:w="120"/>
            </w:tcMar>
          </w:tcPr>
          <w:p>
            <w:r>
              <w:rPr>
                <w:rFonts w:ascii="Calibri" w:cs="Calibri" w:eastAsia="Calibri" w:hAnsi="Calibri"/>
                <w:color w:val="1A1A1A"/>
                <w:sz w:val="19"/>
                <w:szCs w:val="19"/>
              </w:rPr>
              <w:t xml:space="preserve">Team-by-team feedback is given, focused on the strength of the activist thesis, the realism of the demands, and the quality of the negotiation — not simply whether the team “won” the negotiation.</w:t>
            </w:r>
          </w:p>
        </w:tc>
      </w:tr>
      <w:tr>
        <w:tc>
          <w:tcPr>
            <w:tcW w:type="dxa" w:w="700"/>
            <w:shd w:fill="F5F1E8" w:val="clear"/>
            <w:tcMar>
              <w:top w:type="dxa" w:w="90"/>
              <w:left w:type="dxa" w:w="120"/>
              <w:bottom w:type="dxa" w:w="90"/>
              <w:right w:type="dxa" w:w="120"/>
            </w:tcMar>
          </w:tcPr>
          <w:p>
            <w:pPr>
              <w:jc w:val="center"/>
            </w:pPr>
            <w:r>
              <w:rPr>
                <w:rFonts w:ascii="Calibri" w:cs="Calibri" w:eastAsia="Calibri" w:hAnsi="Calibri"/>
                <w:b/>
                <w:bCs/>
                <w:color w:val="13294B"/>
                <w:sz w:val="19"/>
                <w:szCs w:val="19"/>
              </w:rPr>
              <w:t xml:space="preserve">6</w:t>
            </w:r>
          </w:p>
        </w:tc>
        <w:tc>
          <w:tcPr>
            <w:tcW w:type="dxa" w:w="2600"/>
            <w:shd w:fill="F5F1E8" w:val="clear"/>
            <w:tcMar>
              <w:top w:type="dxa" w:w="90"/>
              <w:left w:type="dxa" w:w="120"/>
              <w:bottom w:type="dxa" w:w="90"/>
              <w:right w:type="dxa" w:w="120"/>
            </w:tcMar>
          </w:tcPr>
          <w:p>
            <w:r>
              <w:rPr>
                <w:rFonts w:ascii="Calibri" w:cs="Calibri" w:eastAsia="Calibri" w:hAnsi="Calibri"/>
                <w:b/>
                <w:bCs/>
                <w:color w:val="1A1A1A"/>
                <w:sz w:val="19"/>
                <w:szCs w:val="19"/>
              </w:rPr>
              <w:t xml:space="preserve">Wrap-up and bridge to IW1</w:t>
            </w:r>
          </w:p>
        </w:tc>
        <w:tc>
          <w:tcPr>
            <w:tcW w:type="dxa" w:w="1400"/>
            <w:shd w:fill="F5F1E8" w:val="clear"/>
            <w:tcMar>
              <w:top w:type="dxa" w:w="90"/>
              <w:left w:type="dxa" w:w="120"/>
              <w:bottom w:type="dxa" w:w="90"/>
              <w:right w:type="dxa" w:w="120"/>
            </w:tcMar>
          </w:tcPr>
          <w:p>
            <w:pPr>
              <w:jc w:val="center"/>
            </w:pPr>
            <w:r>
              <w:rPr>
                <w:rFonts w:ascii="Calibri" w:cs="Calibri" w:eastAsia="Calibri" w:hAnsi="Calibri"/>
                <w:i/>
                <w:iCs/>
                <w:color w:val="B08D3D"/>
                <w:sz w:val="19"/>
                <w:szCs w:val="19"/>
              </w:rPr>
              <w:t xml:space="preserve">~5 min</w:t>
            </w:r>
          </w:p>
        </w:tc>
        <w:tc>
          <w:tcPr>
            <w:tcW w:type="dxa" w:w="4600"/>
            <w:shd w:fill="F5F1E8" w:val="clear"/>
            <w:tcMar>
              <w:top w:type="dxa" w:w="90"/>
              <w:left w:type="dxa" w:w="120"/>
              <w:bottom w:type="dxa" w:w="90"/>
              <w:right w:type="dxa" w:w="120"/>
            </w:tcMar>
          </w:tcPr>
          <w:p>
            <w:r>
              <w:rPr>
                <w:rFonts w:ascii="Calibri" w:cs="Calibri" w:eastAsia="Calibri" w:hAnsi="Calibri"/>
                <w:color w:val="1A1A1A"/>
                <w:sz w:val="19"/>
                <w:szCs w:val="19"/>
              </w:rPr>
              <w:t xml:space="preserve">How today's governance negotiation feeds into IW1, the individual M&amp;A governance memo, is explained.</w:t>
            </w:r>
          </w:p>
        </w:tc>
      </w:tr>
      <w:tr>
        <w:tc>
          <w:tcPr>
            <w:gridSpan w:val="2"/>
            <w:shd w:fill="13294B" w:val="clear"/>
            <w:tcMar>
              <w:top w:type="dxa" w:w="90"/>
              <w:left w:type="dxa" w:w="120"/>
              <w:bottom w:type="dxa" w:w="90"/>
              <w:right w:type="dxa" w:w="120"/>
            </w:tcMar>
          </w:tcPr>
          <w:p>
            <w:r>
              <w:rPr>
                <w:rFonts w:ascii="Calibri" w:cs="Calibri" w:eastAsia="Calibri" w:hAnsi="Calibri"/>
                <w:b/>
                <w:bCs/>
                <w:color w:val="FFFFFF"/>
                <w:sz w:val="19"/>
                <w:szCs w:val="19"/>
              </w:rPr>
              <w:t xml:space="preserve">Total</w:t>
            </w:r>
          </w:p>
        </w:tc>
        <w:tc>
          <w:tcPr>
            <w:gridSpan w:val="2"/>
            <w:shd w:fill="13294B" w:val="clear"/>
            <w:tcMar>
              <w:top w:type="dxa" w:w="90"/>
              <w:left w:type="dxa" w:w="120"/>
              <w:bottom w:type="dxa" w:w="90"/>
              <w:right w:type="dxa" w:w="120"/>
            </w:tcMar>
          </w:tcPr>
          <w:p>
            <w:r>
              <w:rPr>
                <w:rFonts w:ascii="Calibri" w:cs="Calibri" w:eastAsia="Calibri" w:hAnsi="Calibri"/>
                <w:b/>
                <w:bCs/>
                <w:color w:val="D9C48A"/>
                <w:sz w:val="19"/>
                <w:szCs w:val="19"/>
              </w:rPr>
              <w:t xml:space="preserve">2 hours (120 minutes), no breaks</w:t>
            </w:r>
          </w:p>
        </w:tc>
      </w:tr>
    </w:tbl>
    <w:p>
      <w:pPr>
        <w:spacing w:after="60" w:before="160"/>
      </w:pPr>
      <w:r>
        <w:rPr>
          <w:rFonts w:ascii="Georgia" w:cs="Georgia" w:eastAsia="Georgia" w:hAnsi="Georgia"/>
          <w:b/>
          <w:bCs/>
          <w:color w:val="13294B"/>
          <w:sz w:val="23"/>
          <w:szCs w:val="23"/>
        </w:rPr>
        <w:t xml:space="preserve">Step-by-Step Detail</w:t>
      </w:r>
    </w:p>
    <w:p>
      <w:pPr>
        <w:spacing w:after="130"/>
      </w:pPr>
      <w:r>
        <w:rPr>
          <w:rFonts w:ascii="Calibri" w:cs="Calibri" w:eastAsia="Calibri" w:hAnsi="Calibri"/>
          <w:b/>
          <w:bCs/>
          <w:color w:val="13294B"/>
          <w:sz w:val="21"/>
          <w:szCs w:val="21"/>
        </w:rPr>
        <w:t xml:space="preserve">1. Framing </w:t>
      </w:r>
      <w:r>
        <w:rPr>
          <w:rFonts w:ascii="Calibri" w:cs="Calibri" w:eastAsia="Calibri" w:hAnsi="Calibri"/>
          <w:i/>
          <w:iCs/>
          <w:color w:val="B08D3D"/>
          <w:sz w:val="20"/>
          <w:szCs w:val="20"/>
        </w:rPr>
        <w:t xml:space="preserve">(~10 min)</w:t>
      </w:r>
      <w:r>
        <w:rPr>
          <w:rFonts w:ascii="Calibri" w:cs="Calibri" w:eastAsia="Calibri" w:hAnsi="Calibri"/>
          <w:color w:val="1A1A1A"/>
          <w:sz w:val="21"/>
          <w:szCs w:val="21"/>
        </w:rPr>
        <w:t xml:space="preserve">. Today's session is framed as the live test of the activist case each team built in GW2.</w:t>
      </w:r>
    </w:p>
    <w:p>
      <w:pPr>
        <w:spacing w:after="130"/>
      </w:pPr>
      <w:r>
        <w:rPr>
          <w:rFonts w:ascii="Calibri" w:cs="Calibri" w:eastAsia="Calibri" w:hAnsi="Calibri"/>
          <w:b/>
          <w:bCs/>
          <w:color w:val="13294B"/>
          <w:sz w:val="21"/>
          <w:szCs w:val="21"/>
        </w:rPr>
        <w:t xml:space="preserve">2. Guest executive presentation </w:t>
      </w:r>
      <w:r>
        <w:rPr>
          <w:rFonts w:ascii="Calibri" w:cs="Calibri" w:eastAsia="Calibri" w:hAnsi="Calibri"/>
          <w:i/>
          <w:iCs/>
          <w:color w:val="B08D3D"/>
          <w:sz w:val="20"/>
          <w:szCs w:val="20"/>
        </w:rPr>
        <w:t xml:space="preserve">(~25 min)</w:t>
      </w:r>
      <w:r>
        <w:rPr>
          <w:rFonts w:ascii="Calibri" w:cs="Calibri" w:eastAsia="Calibri" w:hAnsi="Calibri"/>
          <w:color w:val="1A1A1A"/>
          <w:sz w:val="21"/>
          <w:szCs w:val="21"/>
        </w:rPr>
        <w:t xml:space="preserve">. The guest executive presents a real restructuring, divestiture, or activist-pressure case, including how minority shareholder concerns and board negotiation processes actually played out.</w:t>
      </w:r>
    </w:p>
    <w:p>
      <w:pPr>
        <w:spacing w:after="130"/>
      </w:pPr>
      <w:r>
        <w:rPr>
          <w:rFonts w:ascii="Calibri" w:cs="Calibri" w:eastAsia="Calibri" w:hAnsi="Calibri"/>
          <w:b/>
          <w:bCs/>
          <w:color w:val="13294B"/>
          <w:sz w:val="21"/>
          <w:szCs w:val="21"/>
        </w:rPr>
        <w:t xml:space="preserve">3. Q&amp;A on the guest case </w:t>
      </w:r>
      <w:r>
        <w:rPr>
          <w:rFonts w:ascii="Calibri" w:cs="Calibri" w:eastAsia="Calibri" w:hAnsi="Calibri"/>
          <w:i/>
          <w:iCs/>
          <w:color w:val="B08D3D"/>
          <w:sz w:val="20"/>
          <w:szCs w:val="20"/>
        </w:rPr>
        <w:t xml:space="preserve">(~10 min)</w:t>
      </w:r>
      <w:r>
        <w:rPr>
          <w:rFonts w:ascii="Calibri" w:cs="Calibri" w:eastAsia="Calibri" w:hAnsi="Calibri"/>
          <w:color w:val="1A1A1A"/>
          <w:sz w:val="21"/>
          <w:szCs w:val="21"/>
        </w:rPr>
        <w:t xml:space="preserve">. Open floor for direct questions to the guest executive.</w:t>
      </w:r>
    </w:p>
    <w:p>
      <w:pPr>
        <w:spacing w:after="130"/>
      </w:pPr>
      <w:r>
        <w:rPr>
          <w:rFonts w:ascii="Calibri" w:cs="Calibri" w:eastAsia="Calibri" w:hAnsi="Calibri"/>
          <w:b/>
          <w:bCs/>
          <w:color w:val="13294B"/>
          <w:sz w:val="21"/>
          <w:szCs w:val="21"/>
        </w:rPr>
        <w:t xml:space="preserve">4. Governance negotiation simulation </w:t>
      </w:r>
      <w:r>
        <w:rPr>
          <w:rFonts w:ascii="Calibri" w:cs="Calibri" w:eastAsia="Calibri" w:hAnsi="Calibri"/>
          <w:i/>
          <w:iCs/>
          <w:color w:val="B08D3D"/>
          <w:sz w:val="20"/>
          <w:szCs w:val="20"/>
        </w:rPr>
        <w:t xml:space="preserve">(~60 min)</w:t>
      </w:r>
      <w:r>
        <w:rPr>
          <w:rFonts w:ascii="Calibri" w:cs="Calibri" w:eastAsia="Calibri" w:hAnsi="Calibri"/>
          <w:color w:val="1A1A1A"/>
          <w:sz w:val="21"/>
          <w:szCs w:val="21"/>
        </w:rPr>
        <w:t xml:space="preserve">. Each team, playing the activist investor using its GW2 case, negotiates live against the guest executive and the session's board panel. Expect multiple rounds: opening demands, a board counter-offer, and a revised position — exactly as a real activist campaign would unfold.</w:t>
      </w:r>
    </w:p>
    <w:p>
      <w:pPr>
        <w:spacing w:after="130"/>
      </w:pPr>
      <w:r>
        <w:rPr>
          <w:rFonts w:ascii="Calibri" w:cs="Calibri" w:eastAsia="Calibri" w:hAnsi="Calibri"/>
          <w:b/>
          <w:bCs/>
          <w:color w:val="13294B"/>
          <w:sz w:val="21"/>
          <w:szCs w:val="21"/>
        </w:rPr>
        <w:t xml:space="preserve">5. Guest executive feedback </w:t>
      </w:r>
      <w:r>
        <w:rPr>
          <w:rFonts w:ascii="Calibri" w:cs="Calibri" w:eastAsia="Calibri" w:hAnsi="Calibri"/>
          <w:i/>
          <w:iCs/>
          <w:color w:val="B08D3D"/>
          <w:sz w:val="20"/>
          <w:szCs w:val="20"/>
        </w:rPr>
        <w:t xml:space="preserve">(~10 min)</w:t>
      </w:r>
      <w:r>
        <w:rPr>
          <w:rFonts w:ascii="Calibri" w:cs="Calibri" w:eastAsia="Calibri" w:hAnsi="Calibri"/>
          <w:color w:val="1A1A1A"/>
          <w:sz w:val="21"/>
          <w:szCs w:val="21"/>
        </w:rPr>
        <w:t xml:space="preserve">. Team-by-team feedback is given, focused on the strength of the activist thesis, the realism of the demands, and the quality of the negotiation — not simply whether the team “won” the negotiation.</w:t>
      </w:r>
    </w:p>
    <w:p>
      <w:pPr>
        <w:spacing w:after="130"/>
      </w:pPr>
      <w:r>
        <w:rPr>
          <w:rFonts w:ascii="Calibri" w:cs="Calibri" w:eastAsia="Calibri" w:hAnsi="Calibri"/>
          <w:b/>
          <w:bCs/>
          <w:color w:val="13294B"/>
          <w:sz w:val="21"/>
          <w:szCs w:val="21"/>
        </w:rPr>
        <w:t xml:space="preserve">6. Wrap-up and bridge to IW1 </w:t>
      </w:r>
      <w:r>
        <w:rPr>
          <w:rFonts w:ascii="Calibri" w:cs="Calibri" w:eastAsia="Calibri" w:hAnsi="Calibri"/>
          <w:i/>
          <w:iCs/>
          <w:color w:val="B08D3D"/>
          <w:sz w:val="20"/>
          <w:szCs w:val="20"/>
        </w:rPr>
        <w:t xml:space="preserve">(~5 min)</w:t>
      </w:r>
      <w:r>
        <w:rPr>
          <w:rFonts w:ascii="Calibri" w:cs="Calibri" w:eastAsia="Calibri" w:hAnsi="Calibri"/>
          <w:color w:val="1A1A1A"/>
          <w:sz w:val="21"/>
          <w:szCs w:val="21"/>
        </w:rPr>
        <w:t xml:space="preserve">. How today's governance negotiation feeds into IW1, the individual M&amp;A governance memo, is explained.</w:t>
      </w:r>
    </w:p>
    <w:p>
      <w:pPr>
        <w:pStyle w:val="Heading2"/>
        <w:spacing w:after="150" w:before="300"/>
      </w:pPr>
      <w:r>
        <w:rPr>
          <w:rFonts w:ascii="Georgia" w:cs="Georgia" w:eastAsia="Georgia" w:hAnsi="Georgia"/>
          <w:b/>
          <w:bCs/>
          <w:color w:val="13294B"/>
          <w:sz w:val="23"/>
          <w:szCs w:val="23"/>
        </w:rPr>
        <w:t xml:space="preserve">What Is Expected From the Guest Executive</w:t>
      </w:r>
    </w:p>
    <w:p>
      <w:pPr>
        <w:pStyle w:val="ListParagraph"/>
        <w:numPr>
          <w:ilvl w:val="0"/>
          <w:numId w:val="1"/>
        </w:numPr>
        <w:spacing w:after="90"/>
      </w:pPr>
      <w:r>
        <w:rPr>
          <w:rFonts w:ascii="Calibri" w:cs="Calibri" w:eastAsia="Calibri" w:hAnsi="Calibri"/>
          <w:color w:val="1A1A1A"/>
          <w:sz w:val="21"/>
          <w:szCs w:val="21"/>
        </w:rPr>
        <w:t xml:space="preserve">Present a real restructuring, divestiture, or activist-pressure case from their own career.</w:t>
      </w:r>
    </w:p>
    <w:p>
      <w:pPr>
        <w:pStyle w:val="ListParagraph"/>
        <w:numPr>
          <w:ilvl w:val="0"/>
          <w:numId w:val="1"/>
        </w:numPr>
        <w:spacing w:after="90"/>
      </w:pPr>
      <w:r>
        <w:rPr>
          <w:rFonts w:ascii="Calibri" w:cs="Calibri" w:eastAsia="Calibri" w:hAnsi="Calibri"/>
          <w:color w:val="1A1A1A"/>
          <w:sz w:val="21"/>
          <w:szCs w:val="21"/>
        </w:rPr>
        <w:t xml:space="preserve">Discuss minority shareholder concerns and how board negotiation processes actually unfolded in that case.</w:t>
      </w:r>
    </w:p>
    <w:p>
      <w:pPr>
        <w:pStyle w:val="ListParagraph"/>
        <w:numPr>
          <w:ilvl w:val="0"/>
          <w:numId w:val="1"/>
        </w:numPr>
        <w:spacing w:after="90"/>
      </w:pPr>
      <w:r>
        <w:rPr>
          <w:rFonts w:ascii="Calibri" w:cs="Calibri" w:eastAsia="Calibri" w:hAnsi="Calibri"/>
          <w:color w:val="1A1A1A"/>
          <w:sz w:val="21"/>
          <w:szCs w:val="21"/>
        </w:rPr>
        <w:t xml:space="preserve">Explain strategic signalling under capital market scrutiny — how boards and management communicate under pressure without triggering disclosure violations.</w:t>
      </w:r>
    </w:p>
    <w:p>
      <w:pPr>
        <w:pStyle w:val="ListParagraph"/>
        <w:numPr>
          <w:ilvl w:val="0"/>
          <w:numId w:val="1"/>
        </w:numPr>
        <w:spacing w:after="90"/>
      </w:pPr>
      <w:r>
        <w:rPr>
          <w:rFonts w:ascii="Calibri" w:cs="Calibri" w:eastAsia="Calibri" w:hAnsi="Calibri"/>
          <w:color w:val="1A1A1A"/>
          <w:sz w:val="21"/>
          <w:szCs w:val="21"/>
        </w:rPr>
        <w:t xml:space="preserve">Take the board's side directly in the live governance negotiation simulation against each team's activist case.</w:t>
      </w:r>
    </w:p>
    <w:p>
      <w:pPr>
        <w:pStyle w:val="ListParagraph"/>
        <w:numPr>
          <w:ilvl w:val="0"/>
          <w:numId w:val="1"/>
        </w:numPr>
        <w:spacing w:after="90"/>
      </w:pPr>
      <w:r>
        <w:rPr>
          <w:rFonts w:ascii="Calibri" w:cs="Calibri" w:eastAsia="Calibri" w:hAnsi="Calibri"/>
          <w:color w:val="1A1A1A"/>
          <w:sz w:val="21"/>
          <w:szCs w:val="21"/>
        </w:rPr>
        <w:t xml:space="preserve">Provide analytical, team-by-team feedback on the restructuring and governance arguments developed in class.</w:t>
      </w:r>
    </w:p>
    <w:p>
      <w:pPr>
        <w:pStyle w:val="Heading1"/>
        <w:pBdr>
          <w:bottom w:val="single" w:color="B08D3D" w:sz="6" w:space="4"/>
        </w:pBdr>
        <w:spacing w:after="150" w:before="300"/>
      </w:pPr>
      <w:r>
        <w:rPr>
          <w:rFonts w:ascii="Georgia" w:cs="Georgia" w:eastAsia="Georgia" w:hAnsi="Georgia"/>
          <w:b/>
          <w:bCs/>
          <w:color w:val="0B1E39"/>
          <w:sz w:val="28"/>
          <w:szCs w:val="28"/>
        </w:rPr>
        <w:t xml:space="preserve">3. Previously Assigned Work Due This Session</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700"/>
            <w:tcBorders>
              <w:top w:val="single" w:color="B08D3D" w:sz="4"/>
              <w:left w:val="single" w:color="B08D3D" w:sz="16"/>
              <w:bottom w:val="single" w:color="B08D3D" w:sz="4"/>
              <w:right w:val="single" w:color="B08D3D" w:sz="4"/>
            </w:tcBorders>
            <w:shd w:fill="F5F1E8" w:val="clear"/>
            <w:tcMar>
              <w:top w:type="dxa" w:w="140"/>
              <w:left w:type="dxa" w:w="200"/>
              <w:bottom w:type="dxa" w:w="140"/>
              <w:right w:type="dxa" w:w="200"/>
            </w:tcMar>
          </w:tcPr>
          <w:p>
            <w:pPr>
              <w:spacing w:after="60"/>
            </w:pPr>
            <w:r>
              <w:rPr>
                <w:rFonts w:ascii="Georgia" w:cs="Georgia" w:eastAsia="Georgia" w:hAnsi="Georgia"/>
                <w:b/>
                <w:bCs/>
                <w:color w:val="0B1E39"/>
                <w:sz w:val="22"/>
                <w:szCs w:val="22"/>
              </w:rPr>
              <w:t xml:space="preserve">GW2 — Activist &amp; Capital Market Pressure Simulation (Group Work, 15%)</w:t>
            </w:r>
          </w:p>
          <w:p>
            <w:r>
              <w:rPr>
                <w:rFonts w:ascii="Calibri" w:cs="Calibri" w:eastAsia="Calibri" w:hAnsi="Calibri"/>
                <w:color w:val="1A1A1A"/>
                <w:sz w:val="21"/>
                <w:szCs w:val="21"/>
              </w:rPr>
              <w:t xml:space="preserve">Due at the start of this session — you will present and defend it live against the guest executive in the governance negotiation simulation, so bring both the written deliverable and your team's negotiation notes.</w:t>
            </w:r>
          </w:p>
        </w:tc>
      </w:tr>
    </w:tbl>
    <w:p>
      <w:pPr>
        <w:spacing w:before="240"/>
      </w:pPr>
    </w:p>
    <w:p>
      <w:pPr>
        <w:pStyle w:val="Heading1"/>
        <w:pBdr>
          <w:bottom w:val="single" w:color="B08D3D" w:sz="6" w:space="4"/>
        </w:pBdr>
        <w:spacing w:after="150" w:before="300"/>
      </w:pPr>
      <w:r>
        <w:rPr>
          <w:rFonts w:ascii="Georgia" w:cs="Georgia" w:eastAsia="Georgia" w:hAnsi="Georgia"/>
          <w:b/>
          <w:bCs/>
          <w:color w:val="0B1E39"/>
          <w:sz w:val="28"/>
          <w:szCs w:val="28"/>
        </w:rPr>
        <w:t xml:space="preserve">4. Assignment(s) Given This Session</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700"/>
            <w:tcBorders>
              <w:top w:val="single" w:color="13294B" w:sz="4"/>
              <w:left w:val="single" w:color="13294B" w:sz="16"/>
              <w:bottom w:val="single" w:color="13294B" w:sz="4"/>
              <w:right w:val="single" w:color="13294B" w:sz="4"/>
            </w:tcBorders>
            <w:shd w:fill="F5F1E8" w:val="clear"/>
            <w:tcMar>
              <w:top w:type="dxa" w:w="140"/>
              <w:left w:type="dxa" w:w="200"/>
              <w:bottom w:type="dxa" w:w="140"/>
              <w:right w:type="dxa" w:w="200"/>
            </w:tcMar>
          </w:tcPr>
          <w:p>
            <w:pPr>
              <w:spacing w:after="60"/>
            </w:pPr>
            <w:r>
              <w:rPr>
                <w:rFonts w:ascii="Georgia" w:cs="Georgia" w:eastAsia="Georgia" w:hAnsi="Georgia"/>
                <w:b/>
                <w:bCs/>
                <w:color w:val="0B1E39"/>
                <w:sz w:val="22"/>
                <w:szCs w:val="22"/>
              </w:rPr>
              <w:t xml:space="preserve">IW1 — Strategic Investment &amp; M&amp;A Governance Memo</w:t>
            </w:r>
          </w:p>
          <w:p>
            <w:r>
              <w:rPr>
                <w:rFonts w:ascii="Calibri" w:cs="Calibri" w:eastAsia="Calibri" w:hAnsi="Calibri"/>
                <w:color w:val="1A1A1A"/>
                <w:sz w:val="21"/>
                <w:szCs w:val="21"/>
              </w:rPr>
              <w:t xml:space="preserve">Individual Work, 22% of final grade. Due at the start of Session 5.</w:t>
            </w:r>
          </w:p>
        </w:tc>
      </w:tr>
    </w:tbl>
    <w:p>
      <w:pPr>
        <w:pStyle w:val="Heading2"/>
        <w:spacing w:after="150" w:before="300"/>
      </w:pPr>
      <w:r>
        <w:rPr>
          <w:rFonts w:ascii="Georgia" w:cs="Georgia" w:eastAsia="Georgia" w:hAnsi="Georgia"/>
          <w:b/>
          <w:bCs/>
          <w:color w:val="13294B"/>
          <w:sz w:val="23"/>
          <w:szCs w:val="23"/>
        </w:rPr>
        <w:t xml:space="preserve">Purpose</w:t>
      </w:r>
    </w:p>
    <w:p>
      <w:pPr>
        <w:spacing w:after="130"/>
      </w:pPr>
      <w:r>
        <w:rPr>
          <w:rFonts w:ascii="Calibri" w:cs="Calibri" w:eastAsia="Calibri" w:hAnsi="Calibri"/>
          <w:color w:val="1A1A1A"/>
          <w:sz w:val="21"/>
          <w:szCs w:val="21"/>
        </w:rPr>
        <w:t xml:space="preserve">To individually evaluate a specific strategic investment or M&amp;A decision at your assigned company through a governance lens, applying the frameworks from Sessions 2 and 3.</w:t>
      </w:r>
    </w:p>
    <w:p>
      <w:pPr>
        <w:pStyle w:val="Heading2"/>
        <w:spacing w:after="150" w:before="300"/>
      </w:pPr>
      <w:r>
        <w:rPr>
          <w:rFonts w:ascii="Georgia" w:cs="Georgia" w:eastAsia="Georgia" w:hAnsi="Georgia"/>
          <w:b/>
          <w:bCs/>
          <w:color w:val="13294B"/>
          <w:sz w:val="23"/>
          <w:szCs w:val="23"/>
        </w:rPr>
        <w:t xml:space="preserve">Scope and Expectations</w:t>
      </w:r>
    </w:p>
    <w:p>
      <w:pPr>
        <w:spacing w:after="130"/>
      </w:pPr>
      <w:r>
        <w:rPr>
          <w:rFonts w:ascii="Calibri" w:cs="Calibri" w:eastAsia="Calibri" w:hAnsi="Calibri"/>
          <w:color w:val="1A1A1A"/>
          <w:sz w:val="21"/>
          <w:szCs w:val="21"/>
        </w:rPr>
        <w:t xml:space="preserve">The memo covers one decision only, examined in depth — not a survey of several decisions. It is expected to reach an explicit recommendation, not just a description of the process. Where the public record is incomplete, the memo should say so directly rather than filling the gap with assumption presented as fact.</w:t>
      </w:r>
    </w:p>
    <w:p>
      <w:pPr>
        <w:pStyle w:val="Heading2"/>
        <w:spacing w:after="150" w:before="300"/>
      </w:pPr>
      <w:r>
        <w:rPr>
          <w:rFonts w:ascii="Georgia" w:cs="Georgia" w:eastAsia="Georgia" w:hAnsi="Georgia"/>
          <w:b/>
          <w:bCs/>
          <w:color w:val="13294B"/>
          <w:sz w:val="23"/>
          <w:szCs w:val="23"/>
        </w:rPr>
        <w:t xml:space="preserve">Where to Find Information</w:t>
      </w:r>
    </w:p>
    <w:p>
      <w:pPr>
        <w:pStyle w:val="ListParagraph"/>
        <w:numPr>
          <w:ilvl w:val="0"/>
          <w:numId w:val="1"/>
        </w:numPr>
        <w:spacing w:after="90"/>
      </w:pPr>
      <w:r>
        <w:rPr>
          <w:rFonts w:ascii="Calibri" w:cs="Calibri" w:eastAsia="Calibri" w:hAnsi="Calibri"/>
          <w:color w:val="1A1A1A"/>
          <w:sz w:val="21"/>
          <w:szCs w:val="21"/>
        </w:rPr>
        <w:t xml:space="preserve">KAP disclosure archive (kap.org.tr) — search by company name and approximate date to find the material-event notice for the transaction chosen; this is usually the most reliable primary source for the disclosure timeline.</w:t>
      </w:r>
    </w:p>
    <w:p>
      <w:pPr>
        <w:pStyle w:val="ListParagraph"/>
        <w:numPr>
          <w:ilvl w:val="0"/>
          <w:numId w:val="1"/>
        </w:numPr>
        <w:spacing w:after="90"/>
      </w:pPr>
      <w:r>
        <w:rPr>
          <w:rFonts w:ascii="Calibri" w:cs="Calibri" w:eastAsia="Calibri" w:hAnsi="Calibri"/>
          <w:color w:val="1A1A1A"/>
          <w:sz w:val="21"/>
          <w:szCs w:val="21"/>
        </w:rPr>
        <w:t xml:space="preserve">The annual report covering the year of the transaction — for board approval references and any related-party disclosures.</w:t>
      </w:r>
    </w:p>
    <w:p>
      <w:pPr>
        <w:pStyle w:val="ListParagraph"/>
        <w:numPr>
          <w:ilvl w:val="0"/>
          <w:numId w:val="1"/>
        </w:numPr>
        <w:spacing w:after="90"/>
      </w:pPr>
      <w:r>
        <w:rPr>
          <w:rFonts w:ascii="Calibri" w:cs="Calibri" w:eastAsia="Calibri" w:hAnsi="Calibri"/>
          <w:color w:val="1A1A1A"/>
          <w:sz w:val="21"/>
          <w:szCs w:val="21"/>
        </w:rPr>
        <w:t xml:space="preserve">Press coverage from the time of the transaction — useful for context on how management and the board publicly explained the decision.</w:t>
      </w:r>
    </w:p>
    <w:p>
      <w:pPr>
        <w:pStyle w:val="ListParagraph"/>
        <w:numPr>
          <w:ilvl w:val="0"/>
          <w:numId w:val="1"/>
        </w:numPr>
        <w:spacing w:after="90"/>
      </w:pPr>
      <w:r>
        <w:rPr>
          <w:rFonts w:ascii="Calibri" w:cs="Calibri" w:eastAsia="Calibri" w:hAnsi="Calibri"/>
          <w:color w:val="1A1A1A"/>
          <w:sz w:val="21"/>
          <w:szCs w:val="21"/>
        </w:rPr>
        <w:t xml:space="preserve">The company's general assembly (genel kurul) minutes or shareholder circular, if publicly available, for transactions requiring shareholder approval.</w:t>
      </w:r>
    </w:p>
    <w:p>
      <w:pPr>
        <w:pStyle w:val="Heading2"/>
        <w:spacing w:after="150" w:before="300"/>
      </w:pPr>
      <w:r>
        <w:rPr>
          <w:rFonts w:ascii="Georgia" w:cs="Georgia" w:eastAsia="Georgia" w:hAnsi="Georgia"/>
          <w:b/>
          <w:bCs/>
          <w:color w:val="13294B"/>
          <w:sz w:val="23"/>
          <w:szCs w:val="23"/>
        </w:rPr>
        <w:t xml:space="preserve">How to Process What You Find</w:t>
      </w:r>
    </w:p>
    <w:p>
      <w:pPr>
        <w:pStyle w:val="ListParagraph"/>
        <w:numPr>
          <w:ilvl w:val="0"/>
          <w:numId w:val="2"/>
        </w:numPr>
        <w:spacing w:after="110"/>
      </w:pPr>
      <w:r>
        <w:rPr>
          <w:rFonts w:ascii="Calibri" w:cs="Calibri" w:eastAsia="Calibri" w:hAnsi="Calibri"/>
          <w:color w:val="1A1A1A"/>
          <w:sz w:val="21"/>
          <w:szCs w:val="21"/>
        </w:rPr>
        <w:t xml:space="preserve">Select the decision: choose one real investment, acquisition, or divestiture decision at your assigned company (or, if none is publicly documented in enough detail, a clearly labelled hypothetical one built on the company's real portfolio).</w:t>
      </w:r>
    </w:p>
    <w:p>
      <w:pPr>
        <w:pStyle w:val="ListParagraph"/>
        <w:numPr>
          <w:ilvl w:val="0"/>
          <w:numId w:val="2"/>
        </w:numPr>
        <w:spacing w:after="110"/>
      </w:pPr>
      <w:r>
        <w:rPr>
          <w:rFonts w:ascii="Calibri" w:cs="Calibri" w:eastAsia="Calibri" w:hAnsi="Calibri"/>
          <w:color w:val="1A1A1A"/>
          <w:sz w:val="21"/>
          <w:szCs w:val="21"/>
        </w:rPr>
        <w:t xml:space="preserve">Build a timeline first: using KAP and the annual report, establish the date the decision was proposed (if known), the date of board approval, and the date of public disclosure. Mark any date you cannot verify as “unknown.”</w:t>
      </w:r>
    </w:p>
    <w:p>
      <w:pPr>
        <w:pStyle w:val="ListParagraph"/>
        <w:numPr>
          <w:ilvl w:val="0"/>
          <w:numId w:val="2"/>
        </w:numPr>
        <w:spacing w:after="110"/>
      </w:pPr>
      <w:r>
        <w:rPr>
          <w:rFonts w:ascii="Calibri" w:cs="Calibri" w:eastAsia="Calibri" w:hAnsi="Calibri"/>
          <w:color w:val="1A1A1A"/>
          <w:sz w:val="21"/>
          <w:szCs w:val="21"/>
        </w:rPr>
        <w:t xml:space="preserve">Decision process reconstruction: using the timeline, describe who proposed the decision, what screening occurred, and how the board approved it. Label any part of the process you cannot verify as “unknown” or “assumed” rather than presenting a guess as fact.</w:t>
      </w:r>
    </w:p>
    <w:p>
      <w:pPr>
        <w:pStyle w:val="ListParagraph"/>
        <w:numPr>
          <w:ilvl w:val="0"/>
          <w:numId w:val="2"/>
        </w:numPr>
        <w:spacing w:after="110"/>
      </w:pPr>
      <w:r>
        <w:rPr>
          <w:rFonts w:ascii="Calibri" w:cs="Calibri" w:eastAsia="Calibri" w:hAnsi="Calibri"/>
          <w:color w:val="1A1A1A"/>
          <w:sz w:val="21"/>
          <w:szCs w:val="21"/>
        </w:rPr>
        <w:t xml:space="preserve">Fiduciary duty analysis: assess whether the decision process appears consistent with the duty of care (was there a reasonable information base for the decision?) and the duty of loyalty (are there any related-party or conflict-of-interest concerns?).</w:t>
      </w:r>
    </w:p>
    <w:p>
      <w:pPr>
        <w:pStyle w:val="ListParagraph"/>
        <w:numPr>
          <w:ilvl w:val="0"/>
          <w:numId w:val="2"/>
        </w:numPr>
        <w:spacing w:after="110"/>
      </w:pPr>
      <w:r>
        <w:rPr>
          <w:rFonts w:ascii="Calibri" w:cs="Calibri" w:eastAsia="Calibri" w:hAnsi="Calibri"/>
          <w:color w:val="1A1A1A"/>
          <w:sz w:val="21"/>
          <w:szCs w:val="21"/>
        </w:rPr>
        <w:t xml:space="preserve">Disclosure analysis: compare the actual disclosure date from your timeline against what the Session 3 materiality framework would require, and note any gap.</w:t>
      </w:r>
    </w:p>
    <w:p>
      <w:pPr>
        <w:pStyle w:val="ListParagraph"/>
        <w:numPr>
          <w:ilvl w:val="0"/>
          <w:numId w:val="2"/>
        </w:numPr>
        <w:spacing w:after="110"/>
      </w:pPr>
      <w:r>
        <w:rPr>
          <w:rFonts w:ascii="Calibri" w:cs="Calibri" w:eastAsia="Calibri" w:hAnsi="Calibri"/>
          <w:color w:val="1A1A1A"/>
          <w:sz w:val="21"/>
          <w:szCs w:val="21"/>
        </w:rPr>
        <w:t xml:space="preserve">Recommendation: write this section last. Conclude with your own recommendation on whether the governance process was adequate, and what you personally would have done differently as a board member.</w:t>
      </w:r>
    </w:p>
    <w:p>
      <w:pPr>
        <w:pStyle w:val="Heading2"/>
        <w:spacing w:after="150" w:before="300"/>
      </w:pPr>
      <w:r>
        <w:rPr>
          <w:rFonts w:ascii="Georgia" w:cs="Georgia" w:eastAsia="Georgia" w:hAnsi="Georgia"/>
          <w:b/>
          <w:bCs/>
          <w:color w:val="13294B"/>
          <w:sz w:val="23"/>
          <w:szCs w:val="23"/>
        </w:rPr>
        <w:t xml:space="preserve">Expected Section Titles</w:t>
      </w:r>
    </w:p>
    <w:p>
      <w:pPr>
        <w:spacing w:after="130"/>
      </w:pPr>
      <w:r>
        <w:rPr>
          <w:rFonts w:ascii="Calibri" w:cs="Calibri" w:eastAsia="Calibri" w:hAnsi="Calibri"/>
          <w:color w:val="1A1A1A"/>
          <w:sz w:val="21"/>
          <w:szCs w:val="21"/>
        </w:rPr>
        <w:t xml:space="preserve">The deliverable is expected to be organised under exactly these headings, in this order:</w:t>
      </w:r>
    </w:p>
    <w:p>
      <w:pPr>
        <w:spacing w:after="130"/>
      </w:pPr>
      <w:r>
        <w:rPr>
          <w:rFonts w:ascii="Calibri" w:cs="Calibri" w:eastAsia="Calibri" w:hAnsi="Calibri"/>
          <w:i/>
          <w:iCs/>
          <w:color w:val="13294B"/>
          <w:sz w:val="20"/>
          <w:szCs w:val="20"/>
        </w:rPr>
        <w:t xml:space="preserve">1. Decision Overview   →   2. Decision Process Reconstruction   →   3. Fiduciary Duty Analysis   →   4. Disclosure Analysis   →   5. Recommendation</w:t>
      </w:r>
    </w:p>
    <w:p>
      <w:pPr>
        <w:pStyle w:val="Heading2"/>
        <w:spacing w:after="150" w:before="300"/>
      </w:pPr>
      <w:r>
        <w:rPr>
          <w:rFonts w:ascii="Georgia" w:cs="Georgia" w:eastAsia="Georgia" w:hAnsi="Georgia"/>
          <w:b/>
          <w:bCs/>
          <w:color w:val="13294B"/>
          <w:sz w:val="23"/>
          <w:szCs w:val="23"/>
        </w:rPr>
        <w:t xml:space="preserve">Format and Length</w:t>
      </w:r>
    </w:p>
    <w:p>
      <w:pPr>
        <w:spacing w:after="130"/>
      </w:pPr>
      <w:r>
        <w:rPr>
          <w:rFonts w:ascii="Calibri" w:cs="Calibri" w:eastAsia="Calibri" w:hAnsi="Calibri"/>
          <w:color w:val="1A1A1A"/>
          <w:sz w:val="21"/>
          <w:szCs w:val="21"/>
        </w:rPr>
        <w:t xml:space="preserve">Maximum 10 pages (working target 3–5 pages). Individual submission, one document per student. Every factual claim must be cited to a source — annual report, KAP filing, or credible press coverage — and every statement should be explicitly labelled as verified fact, reasoned hypothesis, or open question, per the convention set out in the course memo.</w:t>
      </w:r>
    </w:p>
    <w:p>
      <w:pPr>
        <w:pStyle w:val="Heading2"/>
        <w:spacing w:after="150" w:before="300"/>
      </w:pPr>
      <w:r>
        <w:rPr>
          <w:rFonts w:ascii="Georgia" w:cs="Georgia" w:eastAsia="Georgia" w:hAnsi="Georgia"/>
          <w:b/>
          <w:bCs/>
          <w:color w:val="13294B"/>
          <w:sz w:val="23"/>
          <w:szCs w:val="23"/>
        </w:rPr>
        <w:t xml:space="preserve">How This Will Be Graded</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6200"/>
        <w:gridCol w:w="3500"/>
      </w:tblGrid>
      <w:tr>
        <w:tc>
          <w:tcPr>
            <w:tcW w:type="dxa" w:w="6200"/>
            <w:shd w:fill="0B1E39" w:val="clear"/>
            <w:tcMar>
              <w:top w:type="dxa" w:w="100"/>
              <w:left w:type="dxa" w:w="150"/>
              <w:bottom w:type="dxa" w:w="100"/>
              <w:right w:type="dxa" w:w="150"/>
            </w:tcMar>
          </w:tcPr>
          <w:p>
            <w:r>
              <w:rPr>
                <w:rFonts w:ascii="Calibri" w:cs="Calibri" w:eastAsia="Calibri" w:hAnsi="Calibri"/>
                <w:b/>
                <w:bCs/>
                <w:color w:val="FFFFFF"/>
                <w:sz w:val="20"/>
                <w:szCs w:val="20"/>
              </w:rPr>
              <w:t xml:space="preserve">Criterion</w:t>
            </w:r>
          </w:p>
        </w:tc>
        <w:tc>
          <w:tcPr>
            <w:tcW w:type="dxa" w:w="3500"/>
            <w:shd w:fill="0B1E39" w:val="clear"/>
            <w:tcMar>
              <w:top w:type="dxa" w:w="100"/>
              <w:left w:type="dxa" w:w="150"/>
              <w:bottom w:type="dxa" w:w="100"/>
              <w:right w:type="dxa" w:w="150"/>
            </w:tcMar>
          </w:tcPr>
          <w:p>
            <w:pPr>
              <w:jc w:val="center"/>
            </w:pPr>
            <w:r>
              <w:rPr>
                <w:rFonts w:ascii="Calibri" w:cs="Calibri" w:eastAsia="Calibri" w:hAnsi="Calibri"/>
                <w:b/>
                <w:bCs/>
                <w:color w:val="FFFFFF"/>
                <w:sz w:val="20"/>
                <w:szCs w:val="20"/>
              </w:rPr>
              <w:t xml:space="preserve">Weight within this grade</w:t>
            </w:r>
          </w:p>
        </w:tc>
      </w:tr>
      <w:tr>
        <w:tc>
          <w:tcPr>
            <w:tcW w:type="dxa" w:w="6200"/>
            <w:shd w:fill="FFFFFF" w:val="clear"/>
            <w:tcMar>
              <w:top w:type="dxa" w:w="100"/>
              <w:left w:type="dxa" w:w="150"/>
              <w:bottom w:type="dxa" w:w="100"/>
              <w:right w:type="dxa" w:w="150"/>
            </w:tcMar>
          </w:tcPr>
          <w:p>
            <w:r>
              <w:rPr>
                <w:rFonts w:ascii="Calibri" w:cs="Calibri" w:eastAsia="Calibri" w:hAnsi="Calibri"/>
                <w:color w:val="1A1A1A"/>
                <w:sz w:val="20"/>
                <w:szCs w:val="20"/>
              </w:rPr>
              <w:t xml:space="preserve">Accuracy and completeness of the decision timeline / process reconstruction</w:t>
            </w:r>
          </w:p>
        </w:tc>
        <w:tc>
          <w:tcPr>
            <w:tcW w:type="dxa" w:w="3500"/>
            <w:shd w:fill="FFFFFF" w:val="clear"/>
            <w:tcMar>
              <w:top w:type="dxa" w:w="100"/>
              <w:left w:type="dxa" w:w="150"/>
              <w:bottom w:type="dxa" w:w="100"/>
              <w:right w:type="dxa" w:w="150"/>
            </w:tcMar>
          </w:tcPr>
          <w:p>
            <w:pPr>
              <w:jc w:val="center"/>
            </w:pPr>
            <w:r>
              <w:rPr>
                <w:rFonts w:ascii="Calibri" w:cs="Calibri" w:eastAsia="Calibri" w:hAnsi="Calibri"/>
                <w:b/>
                <w:bCs/>
                <w:color w:val="13294B"/>
                <w:sz w:val="20"/>
                <w:szCs w:val="20"/>
              </w:rPr>
              <w:t xml:space="preserve">25%</w:t>
            </w:r>
          </w:p>
        </w:tc>
      </w:tr>
      <w:tr>
        <w:tc>
          <w:tcPr>
            <w:tcW w:type="dxa" w:w="6200"/>
            <w:shd w:fill="F5F1E8" w:val="clear"/>
            <w:tcMar>
              <w:top w:type="dxa" w:w="100"/>
              <w:left w:type="dxa" w:w="150"/>
              <w:bottom w:type="dxa" w:w="100"/>
              <w:right w:type="dxa" w:w="150"/>
            </w:tcMar>
          </w:tcPr>
          <w:p>
            <w:r>
              <w:rPr>
                <w:rFonts w:ascii="Calibri" w:cs="Calibri" w:eastAsia="Calibri" w:hAnsi="Calibri"/>
                <w:color w:val="1A1A1A"/>
                <w:sz w:val="20"/>
                <w:szCs w:val="20"/>
              </w:rPr>
              <w:t xml:space="preserve">Quality of the fiduciary duty analysis</w:t>
            </w:r>
          </w:p>
        </w:tc>
        <w:tc>
          <w:tcPr>
            <w:tcW w:type="dxa" w:w="3500"/>
            <w:shd w:fill="F5F1E8" w:val="clear"/>
            <w:tcMar>
              <w:top w:type="dxa" w:w="100"/>
              <w:left w:type="dxa" w:w="150"/>
              <w:bottom w:type="dxa" w:w="100"/>
              <w:right w:type="dxa" w:w="150"/>
            </w:tcMar>
          </w:tcPr>
          <w:p>
            <w:pPr>
              <w:jc w:val="center"/>
            </w:pPr>
            <w:r>
              <w:rPr>
                <w:rFonts w:ascii="Calibri" w:cs="Calibri" w:eastAsia="Calibri" w:hAnsi="Calibri"/>
                <w:b/>
                <w:bCs/>
                <w:color w:val="13294B"/>
                <w:sz w:val="20"/>
                <w:szCs w:val="20"/>
              </w:rPr>
              <w:t xml:space="preserve">25%</w:t>
            </w:r>
          </w:p>
        </w:tc>
      </w:tr>
      <w:tr>
        <w:tc>
          <w:tcPr>
            <w:tcW w:type="dxa" w:w="6200"/>
            <w:shd w:fill="FFFFFF" w:val="clear"/>
            <w:tcMar>
              <w:top w:type="dxa" w:w="100"/>
              <w:left w:type="dxa" w:w="150"/>
              <w:bottom w:type="dxa" w:w="100"/>
              <w:right w:type="dxa" w:w="150"/>
            </w:tcMar>
          </w:tcPr>
          <w:p>
            <w:r>
              <w:rPr>
                <w:rFonts w:ascii="Calibri" w:cs="Calibri" w:eastAsia="Calibri" w:hAnsi="Calibri"/>
                <w:color w:val="1A1A1A"/>
                <w:sz w:val="20"/>
                <w:szCs w:val="20"/>
              </w:rPr>
              <w:t xml:space="preserve">Quality of the disclosure analysis</w:t>
            </w:r>
          </w:p>
        </w:tc>
        <w:tc>
          <w:tcPr>
            <w:tcW w:type="dxa" w:w="3500"/>
            <w:shd w:fill="FFFFFF" w:val="clear"/>
            <w:tcMar>
              <w:top w:type="dxa" w:w="100"/>
              <w:left w:type="dxa" w:w="150"/>
              <w:bottom w:type="dxa" w:w="100"/>
              <w:right w:type="dxa" w:w="150"/>
            </w:tcMar>
          </w:tcPr>
          <w:p>
            <w:pPr>
              <w:jc w:val="center"/>
            </w:pPr>
            <w:r>
              <w:rPr>
                <w:rFonts w:ascii="Calibri" w:cs="Calibri" w:eastAsia="Calibri" w:hAnsi="Calibri"/>
                <w:b/>
                <w:bCs/>
                <w:color w:val="13294B"/>
                <w:sz w:val="20"/>
                <w:szCs w:val="20"/>
              </w:rPr>
              <w:t xml:space="preserve">20%</w:t>
            </w:r>
          </w:p>
        </w:tc>
      </w:tr>
      <w:tr>
        <w:tc>
          <w:tcPr>
            <w:tcW w:type="dxa" w:w="6200"/>
            <w:shd w:fill="F5F1E8" w:val="clear"/>
            <w:tcMar>
              <w:top w:type="dxa" w:w="100"/>
              <w:left w:type="dxa" w:w="150"/>
              <w:bottom w:type="dxa" w:w="100"/>
              <w:right w:type="dxa" w:w="150"/>
            </w:tcMar>
          </w:tcPr>
          <w:p>
            <w:r>
              <w:rPr>
                <w:rFonts w:ascii="Calibri" w:cs="Calibri" w:eastAsia="Calibri" w:hAnsi="Calibri"/>
                <w:color w:val="1A1A1A"/>
                <w:sz w:val="20"/>
                <w:szCs w:val="20"/>
              </w:rPr>
              <w:t xml:space="preserve">Clarity and defensibility of the recommendation</w:t>
            </w:r>
          </w:p>
        </w:tc>
        <w:tc>
          <w:tcPr>
            <w:tcW w:type="dxa" w:w="3500"/>
            <w:shd w:fill="F5F1E8" w:val="clear"/>
            <w:tcMar>
              <w:top w:type="dxa" w:w="100"/>
              <w:left w:type="dxa" w:w="150"/>
              <w:bottom w:type="dxa" w:w="100"/>
              <w:right w:type="dxa" w:w="150"/>
            </w:tcMar>
          </w:tcPr>
          <w:p>
            <w:pPr>
              <w:jc w:val="center"/>
            </w:pPr>
            <w:r>
              <w:rPr>
                <w:rFonts w:ascii="Calibri" w:cs="Calibri" w:eastAsia="Calibri" w:hAnsi="Calibri"/>
                <w:b/>
                <w:bCs/>
                <w:color w:val="13294B"/>
                <w:sz w:val="20"/>
                <w:szCs w:val="20"/>
              </w:rPr>
              <w:t xml:space="preserve">20%</w:t>
            </w:r>
          </w:p>
        </w:tc>
      </w:tr>
      <w:tr>
        <w:tc>
          <w:tcPr>
            <w:tcW w:type="dxa" w:w="6200"/>
            <w:shd w:fill="FFFFFF" w:val="clear"/>
            <w:tcMar>
              <w:top w:type="dxa" w:w="100"/>
              <w:left w:type="dxa" w:w="150"/>
              <w:bottom w:type="dxa" w:w="100"/>
              <w:right w:type="dxa" w:w="150"/>
            </w:tcMar>
          </w:tcPr>
          <w:p>
            <w:r>
              <w:rPr>
                <w:rFonts w:ascii="Calibri" w:cs="Calibri" w:eastAsia="Calibri" w:hAnsi="Calibri"/>
                <w:color w:val="1A1A1A"/>
                <w:sz w:val="20"/>
                <w:szCs w:val="20"/>
              </w:rPr>
              <w:t xml:space="preserve">Sourcing discipline (fact / hypothesis / open question labelling) and structure</w:t>
            </w:r>
          </w:p>
        </w:tc>
        <w:tc>
          <w:tcPr>
            <w:tcW w:type="dxa" w:w="3500"/>
            <w:shd w:fill="FFFFFF" w:val="clear"/>
            <w:tcMar>
              <w:top w:type="dxa" w:w="100"/>
              <w:left w:type="dxa" w:w="150"/>
              <w:bottom w:type="dxa" w:w="100"/>
              <w:right w:type="dxa" w:w="150"/>
            </w:tcMar>
          </w:tcPr>
          <w:p>
            <w:pPr>
              <w:jc w:val="center"/>
            </w:pPr>
            <w:r>
              <w:rPr>
                <w:rFonts w:ascii="Calibri" w:cs="Calibri" w:eastAsia="Calibri" w:hAnsi="Calibri"/>
                <w:b/>
                <w:bCs/>
                <w:color w:val="13294B"/>
                <w:sz w:val="20"/>
                <w:szCs w:val="20"/>
              </w:rPr>
              <w:t xml:space="preserve">10%</w:t>
            </w:r>
          </w:p>
        </w:tc>
      </w:tr>
    </w:tbl>
    <w:p>
      <w:pPr>
        <w:spacing w:before="260"/>
      </w:pPr>
    </w:p>
    <w:p>
      <w:pPr>
        <w:pStyle w:val="Heading1"/>
        <w:pBdr>
          <w:bottom w:val="single" w:color="B08D3D" w:sz="6" w:space="4"/>
        </w:pBdr>
        <w:spacing w:after="150" w:before="300"/>
      </w:pPr>
      <w:r>
        <w:rPr>
          <w:rFonts w:ascii="Georgia" w:cs="Georgia" w:eastAsia="Georgia" w:hAnsi="Georgia"/>
          <w:b/>
          <w:bCs/>
          <w:color w:val="0B1E39"/>
          <w:sz w:val="28"/>
          <w:szCs w:val="28"/>
        </w:rPr>
        <w:t xml:space="preserve">5. What Is Expected From You</w:t>
      </w:r>
    </w:p>
    <w:p>
      <w:pPr>
        <w:pStyle w:val="ListParagraph"/>
        <w:numPr>
          <w:ilvl w:val="0"/>
          <w:numId w:val="3"/>
        </w:numPr>
        <w:spacing w:after="110"/>
      </w:pPr>
      <w:r>
        <w:rPr>
          <w:rFonts w:ascii="Calibri" w:cs="Calibri" w:eastAsia="Calibri" w:hAnsi="Calibri"/>
          <w:color w:val="1A1A1A"/>
          <w:sz w:val="21"/>
          <w:szCs w:val="21"/>
        </w:rPr>
        <w:t xml:space="preserve">Submit GW2 at the start of this session, and be ready to argue it live — this session is where your team's activist case is tested directly.</w:t>
      </w:r>
    </w:p>
    <w:p>
      <w:pPr>
        <w:pStyle w:val="ListParagraph"/>
        <w:numPr>
          <w:ilvl w:val="0"/>
          <w:numId w:val="3"/>
        </w:numPr>
        <w:spacing w:after="110"/>
      </w:pPr>
      <w:r>
        <w:rPr>
          <w:rFonts w:ascii="Calibri" w:cs="Calibri" w:eastAsia="Calibri" w:hAnsi="Calibri"/>
          <w:color w:val="1A1A1A"/>
          <w:sz w:val="21"/>
          <w:szCs w:val="21"/>
        </w:rPr>
        <w:t xml:space="preserve">Read the Session 4 materials before class as soon as they are distributed, even though the timeline will be shorter than for earlier sessions.</w:t>
      </w:r>
    </w:p>
    <w:p>
      <w:pPr>
        <w:pStyle w:val="ListParagraph"/>
        <w:numPr>
          <w:ilvl w:val="0"/>
          <w:numId w:val="3"/>
        </w:numPr>
        <w:spacing w:after="110"/>
      </w:pPr>
      <w:r>
        <w:rPr>
          <w:rFonts w:ascii="Calibri" w:cs="Calibri" w:eastAsia="Calibri" w:hAnsi="Calibri"/>
          <w:color w:val="1A1A1A"/>
          <w:sz w:val="21"/>
          <w:szCs w:val="21"/>
        </w:rPr>
        <w:t xml:space="preserve">Expect direct, board-style pushback from the guest executive on your restructuring or divestiture demands — come ready to hold your position or concede it with a reason, not to retreat by default.</w:t>
      </w:r>
    </w:p>
    <w:p>
      <w:pPr>
        <w:pStyle w:val="ListParagraph"/>
        <w:numPr>
          <w:ilvl w:val="0"/>
          <w:numId w:val="3"/>
        </w:numPr>
        <w:spacing w:after="110"/>
      </w:pPr>
      <w:r>
        <w:rPr>
          <w:rFonts w:ascii="Calibri" w:cs="Calibri" w:eastAsia="Calibri" w:hAnsi="Calibri"/>
          <w:color w:val="1A1A1A"/>
          <w:sz w:val="21"/>
          <w:szCs w:val="21"/>
        </w:rPr>
        <w:t xml:space="preserve">Note that IW1 is individual: it should reflect your own analysis, even though it draws on the same company your team has been studying together.</w:t>
      </w:r>
    </w:p>
    <w:sectPr>
      <w:headerReference w:type="default" r:id="rId7"/>
      <w:footerReference w:type="default" r:id="rId8"/>
      <w:pgSz w:w="11906" w:h="16838" w:orient="portrait"/>
      <w:pgMar w:top="1100" w:right="1100" w:bottom="11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A5A5A"/>
        <w:sz w:val="16"/>
        <w:szCs w:val="16"/>
      </w:rPr>
      <w:t xml:space="preserve">Page </w:t>
    </w:r>
    <w:r>
      <w:rPr>
        <w:rFonts w:ascii="Calibri" w:cs="Calibri" w:eastAsia="Calibri" w:hAnsi="Calibri"/>
        <w:color w:val="5A5A5A"/>
        <w:sz w:val="16"/>
        <w:szCs w:val="16"/>
      </w:rPr>
      <w:fldChar w:fldCharType="begin"/>
      <w:instrText xml:space="preserve">PAGE</w:instrText>
      <w:fldChar w:fldCharType="separate"/>
      <w:fldChar w:fldCharType="end"/>
    </w:r>
    <w:r>
      <w:rPr>
        <w:rFonts w:ascii="Calibri" w:cs="Calibri" w:eastAsia="Calibri" w:hAnsi="Calibri"/>
        <w:color w:val="5A5A5A"/>
        <w:sz w:val="16"/>
        <w:szCs w:val="16"/>
      </w:rPr>
      <w:t xml:space="preserve"> of </w:t>
    </w:r>
    <w:r>
      <w:rPr>
        <w:rFonts w:ascii="Calibri" w:cs="Calibri" w:eastAsia="Calibri" w:hAnsi="Calibri"/>
        <w:color w:val="5A5A5A"/>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9C48A" w:sz="4" w:space="4"/>
      </w:pBdr>
      <w:jc w:val="right"/>
    </w:pPr>
    <w:r>
      <w:rPr>
        <w:rFonts w:ascii="Calibri" w:cs="Calibri" w:eastAsia="Calibri" w:hAnsi="Calibri"/>
        <w:color w:val="5A5A5A"/>
        <w:sz w:val="16"/>
        <w:szCs w:val="16"/>
      </w:rPr>
      <w:t xml:space="preserve">ADEX 547 · Session Study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abstractNum w:abstractNumId="3" w15:restartNumberingAfterBreak="0">
    <w:multiLevelType w:val="hybridMultilevel"/>
    <w:lvl w:ilvl="0" w15:tentative="1">
      <w:start w:val="1"/>
      <w:numFmt w:val="decimal"/>
      <w:lvlText w:val="%1."/>
      <w:lvlJc w:val="start"/>
    </w:lvl>
  </w:abstractNum>
  <w:abstractNum w:abstractNumId="4" w15:restartNumberingAfterBreak="0">
    <w:multiLevelType w:val="hybridMultilevel"/>
    <w:lvl w:ilvl="0" w15:tentative="1">
      <w:start w:val="1"/>
      <w:numFmt w:val="decimal"/>
      <w:lvlText w:val="%1."/>
      <w:lvlJc w:val="start"/>
    </w:lvl>
  </w:abstractNum>
  <w:num w:numId="1">
    <w:abstractNumId w:val="1"/>
    <w:lvlOverride w:ilvl="0">
      <w:startOverride w:val="1"/>
    </w:lvlOverride>
  </w:num>
  <w:num w:numId="2">
    <w:abstractNumId w:val="4"/>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2026-07-15T20:01:42.746Z</dcterms:created>
  <dcterms:modified xsi:type="dcterms:W3CDTF">2026-07-15T20:01:42.746Z</dcterms:modified>
</cp:coreProperties>
</file>

<file path=docProps/custom.xml><?xml version="1.0" encoding="utf-8"?>
<Properties xmlns="http://schemas.openxmlformats.org/officeDocument/2006/custom-properties" xmlns:vt="http://schemas.openxmlformats.org/officeDocument/2006/docPropsVTypes"/>
</file>