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00"/>
        <w:jc w:val="center"/>
      </w:pPr>
      <w:r>
        <w:rPr>
          <w:rFonts w:ascii="Georgia" w:cs="Georgia" w:eastAsia="Georgia" w:hAnsi="Georgia"/>
          <w:b/>
          <w:bCs/>
          <w:color w:val="B08D3D"/>
          <w:sz w:val="24"/>
          <w:szCs w:val="24"/>
        </w:rPr>
        <w:t xml:space="preserve">ADEX 547</w:t>
      </w:r>
    </w:p>
    <w:p>
      <w:pPr>
        <w:spacing w:after="100" w:before="80"/>
        <w:jc w:val="center"/>
      </w:pPr>
      <w:r>
        <w:rPr>
          <w:rFonts w:ascii="Calibri" w:cs="Calibri" w:eastAsia="Calibri" w:hAnsi="Calibri"/>
          <w:color w:val="5A5A5A"/>
          <w:sz w:val="20"/>
          <w:szCs w:val="20"/>
        </w:rPr>
        <w:t xml:space="preserve">Corporate Strategy, Portfolio and Investment Leadership</w:t>
      </w:r>
    </w:p>
    <w:p>
      <w:pPr>
        <w:pBdr>
          <w:top w:val="single" w:color="B08D3D" w:sz="4" w:space="6"/>
          <w:bottom w:val="single" w:color="B08D3D" w:sz="4" w:space="6"/>
        </w:pBdr>
        <w:spacing w:after="60" w:before="120"/>
      </w:pPr>
      <w:r>
        <w:rPr>
          <w:rFonts w:ascii="Georgia" w:cs="Georgia" w:eastAsia="Georgia" w:hAnsi="Georgia"/>
          <w:b/>
          <w:bCs/>
          <w:color w:val="0B1E39"/>
          <w:sz w:val="26"/>
          <w:szCs w:val="26"/>
        </w:rPr>
        <w:t xml:space="preserve">SESSION 3 STUDY GUIDE</w:t>
      </w:r>
    </w:p>
    <w:p>
      <w:pPr>
        <w:spacing w:after="60"/>
      </w:pPr>
      <w:r>
        <w:rPr>
          <w:rFonts w:ascii="Georgia" w:cs="Georgia" w:eastAsia="Georgia" w:hAnsi="Georgia"/>
          <w:b/>
          <w:bCs/>
          <w:color w:val="13294B"/>
          <w:sz w:val="24"/>
          <w:szCs w:val="24"/>
        </w:rPr>
        <w:t xml:space="preserve">Capital Markets Law, SPK Oversight and Disclosure in Material Corporate Actions</w:t>
      </w:r>
    </w:p>
    <w:p>
      <w:pPr>
        <w:spacing w:after="260"/>
      </w:pPr>
      <w:r>
        <w:rPr>
          <w:rFonts w:ascii="Calibri" w:cs="Calibri" w:eastAsia="Calibri" w:hAnsi="Calibri"/>
          <w:i/>
          <w:iCs/>
          <w:color w:val="5A5A5A"/>
          <w:sz w:val="20"/>
          <w:szCs w:val="20"/>
        </w:rPr>
        <w:t xml:space="preserve">Format: Face-to-face</w:t>
      </w:r>
    </w:p>
    <w:p>
      <w:pPr>
        <w:pStyle w:val="Heading1"/>
        <w:pBdr>
          <w:bottom w:val="single" w:color="B08D3D" w:sz="6" w:space="4"/>
        </w:pBdr>
        <w:spacing w:after="150" w:before="300"/>
      </w:pPr>
      <w:r>
        <w:rPr>
          <w:rFonts w:ascii="Georgia" w:cs="Georgia" w:eastAsia="Georgia" w:hAnsi="Georgia"/>
          <w:b/>
          <w:bCs/>
          <w:color w:val="0B1E39"/>
          <w:sz w:val="28"/>
          <w:szCs w:val="28"/>
        </w:rPr>
        <w:t xml:space="preserve">1. What to Read Before This Session</w:t>
      </w:r>
    </w:p>
    <w:p>
      <w:pPr>
        <w:spacing w:after="130"/>
      </w:pPr>
      <w:r>
        <w:rPr>
          <w:rFonts w:ascii="Calibri" w:cs="Calibri" w:eastAsia="Calibri" w:hAnsi="Calibri"/>
          <w:color w:val="1A1A1A"/>
          <w:sz w:val="21"/>
          <w:szCs w:val="21"/>
        </w:rPr>
        <w:t xml:space="preserve">Sessions 1 and 2 faced inward, into the firm. This reader turns the argument outward: what happens when a firm's private decision becomes a public, price-moving fact.</w:t>
      </w:r>
    </w:p>
    <w:p>
      <w:pPr>
        <w:spacing w:after="130"/>
      </w:pPr>
      <w:r>
        <w:rPr>
          <w:rFonts w:ascii="Calibri" w:cs="Calibri" w:eastAsia="Calibri" w:hAnsi="Calibri"/>
          <w:b/>
          <w:bCs/>
          <w:color w:val="1A1A1A"/>
          <w:sz w:val="21"/>
          <w:szCs w:val="21"/>
        </w:rPr>
        <w:t xml:space="preserve">Week 3 Reading Coursepack — “Capital Markets Law, SPK Oversight and Disclosure” (Session 3 Reader).</w:t>
      </w:r>
    </w:p>
    <w:p>
      <w:pPr>
        <w:spacing w:after="140" w:before="40"/>
      </w:pPr>
      <w:r>
        <w:rPr>
          <w:rFonts w:ascii="Calibri" w:cs="Calibri" w:eastAsia="Calibri" w:hAnsi="Calibri"/>
          <w:i/>
          <w:iCs/>
          <w:color w:val="5A5A5A"/>
          <w:sz w:val="20"/>
          <w:szCs w:val="20"/>
        </w:rPr>
        <w:t xml:space="preserve">Key sections to focus on:</w:t>
      </w:r>
    </w:p>
    <w:p>
      <w:pPr>
        <w:pStyle w:val="ListParagraph"/>
        <w:numPr>
          <w:ilvl w:val="0"/>
          <w:numId w:val="1"/>
        </w:numPr>
        <w:spacing w:after="90"/>
      </w:pPr>
      <w:r>
        <w:rPr>
          <w:rFonts w:ascii="Calibri" w:cs="Calibri" w:eastAsia="Calibri" w:hAnsi="Calibri"/>
          <w:color w:val="1A1A1A"/>
          <w:sz w:val="21"/>
          <w:szCs w:val="21"/>
        </w:rPr>
        <w:t xml:space="preserve">Part I — Why capital markets are regulated: information asymmetry, the market for lemons, the case for mandatory disclosure.</w:t>
      </w:r>
    </w:p>
    <w:p>
      <w:pPr>
        <w:pStyle w:val="ListParagraph"/>
        <w:numPr>
          <w:ilvl w:val="0"/>
          <w:numId w:val="1"/>
        </w:numPr>
        <w:spacing w:after="90"/>
      </w:pPr>
      <w:r>
        <w:rPr>
          <w:rFonts w:ascii="Calibri" w:cs="Calibri" w:eastAsia="Calibri" w:hAnsi="Calibri"/>
          <w:color w:val="1A1A1A"/>
          <w:sz w:val="21"/>
          <w:szCs w:val="21"/>
        </w:rPr>
        <w:t xml:space="preserve">Part II — The regulatory architecture: Capital Markets Law No. 6362, the SPK, and how Türkiye's regime compares to the SEC, EU MAR and the FCA.</w:t>
      </w:r>
    </w:p>
    <w:p>
      <w:pPr>
        <w:pStyle w:val="ListParagraph"/>
        <w:numPr>
          <w:ilvl w:val="0"/>
          <w:numId w:val="1"/>
        </w:numPr>
        <w:spacing w:after="90"/>
      </w:pPr>
      <w:r>
        <w:rPr>
          <w:rFonts w:ascii="Calibri" w:cs="Calibri" w:eastAsia="Calibri" w:hAnsi="Calibri"/>
          <w:color w:val="1A1A1A"/>
          <w:sz w:val="21"/>
          <w:szCs w:val="21"/>
        </w:rPr>
        <w:t xml:space="preserve">Part III — Disclosure — the heart of the regime: material-event disclosure (özel durum açıklaması), materiality (probability × magnitude), the timing dilemma, KAP and the duty to correct.</w:t>
      </w:r>
    </w:p>
    <w:p>
      <w:pPr>
        <w:pStyle w:val="ListParagraph"/>
        <w:numPr>
          <w:ilvl w:val="0"/>
          <w:numId w:val="1"/>
        </w:numPr>
        <w:spacing w:after="90"/>
      </w:pPr>
      <w:r>
        <w:rPr>
          <w:rFonts w:ascii="Calibri" w:cs="Calibri" w:eastAsia="Calibri" w:hAnsi="Calibri"/>
          <w:color w:val="1A1A1A"/>
          <w:sz w:val="21"/>
          <w:szCs w:val="21"/>
        </w:rPr>
        <w:t xml:space="preserve">Part IV — Material corporate actions: mandatory tender offers, squeeze-out and sell-out rights, capital increases, buybacks, delisting.</w:t>
      </w:r>
    </w:p>
    <w:p>
      <w:pPr>
        <w:pStyle w:val="ListParagraph"/>
        <w:numPr>
          <w:ilvl w:val="0"/>
          <w:numId w:val="1"/>
        </w:numPr>
        <w:spacing w:after="90"/>
      </w:pPr>
      <w:r>
        <w:rPr>
          <w:rFonts w:ascii="Calibri" w:cs="Calibri" w:eastAsia="Calibri" w:hAnsi="Calibri"/>
          <w:color w:val="1A1A1A"/>
          <w:sz w:val="21"/>
          <w:szCs w:val="21"/>
        </w:rPr>
        <w:t xml:space="preserve">Part V — Market abuse: insider trading and market manipulation, and the controls against them.</w:t>
      </w:r>
    </w:p>
    <w:p>
      <w:pPr>
        <w:pStyle w:val="Heading2"/>
        <w:spacing w:after="150" w:before="300"/>
      </w:pPr>
      <w:r>
        <w:rPr>
          <w:rFonts w:ascii="Georgia" w:cs="Georgia" w:eastAsia="Georgia" w:hAnsi="Georgia"/>
          <w:b/>
          <w:bCs/>
          <w:color w:val="13294B"/>
          <w:sz w:val="23"/>
          <w:szCs w:val="23"/>
        </w:rPr>
        <w:t xml:space="preserve">Relevant Chapters from the Reference Book List</w:t>
      </w:r>
    </w:p>
    <w:p>
      <w:pPr>
        <w:spacing w:after="130"/>
      </w:pPr>
      <w:r>
        <w:rPr>
          <w:rFonts w:ascii="Calibri" w:cs="Calibri" w:eastAsia="Calibri" w:hAnsi="Calibri"/>
          <w:color w:val="1A1A1A"/>
          <w:sz w:val="21"/>
          <w:szCs w:val="21"/>
        </w:rPr>
        <w:t xml:space="preserve">Do not read these books cover to cover — relevant chapters only.</w:t>
      </w:r>
    </w:p>
    <w:p>
      <w:pPr>
        <w:pStyle w:val="ListParagraph"/>
        <w:numPr>
          <w:ilvl w:val="0"/>
          <w:numId w:val="1"/>
        </w:numPr>
        <w:spacing w:after="90"/>
      </w:pPr>
      <w:r>
        <w:rPr>
          <w:rFonts w:ascii="Calibri" w:cs="Calibri" w:eastAsia="Calibri" w:hAnsi="Calibri"/>
          <w:color w:val="1A1A1A"/>
          <w:sz w:val="21"/>
          <w:szCs w:val="21"/>
        </w:rPr>
        <w:t xml:space="preserve">van der Heijden, Scenarios: The Art of Strategic Conversation — relevant chapter(s) only.</w:t>
      </w:r>
    </w:p>
    <w:p>
      <w:pPr>
        <w:pStyle w:val="Heading1"/>
        <w:pBdr>
          <w:bottom w:val="single" w:color="B08D3D" w:sz="6" w:space="4"/>
        </w:pBdr>
        <w:spacing w:after="150" w:before="300"/>
      </w:pPr>
      <w:r>
        <w:rPr>
          <w:rFonts w:ascii="Georgia" w:cs="Georgia" w:eastAsia="Georgia" w:hAnsi="Georgia"/>
          <w:b/>
          <w:bCs/>
          <w:color w:val="0B1E39"/>
          <w:sz w:val="28"/>
          <w:szCs w:val="28"/>
        </w:rPr>
        <w:t xml:space="preserve">2. What Will Happen in Class</w:t>
      </w:r>
    </w:p>
    <w:p>
      <w:pPr>
        <w:spacing w:after="130"/>
      </w:pPr>
      <w:r>
        <w:rPr>
          <w:rFonts w:ascii="Calibri" w:cs="Calibri" w:eastAsia="Calibri" w:hAnsi="Calibri"/>
          <w:b/>
          <w:bCs/>
          <w:color w:val="1A1A1A"/>
          <w:sz w:val="21"/>
          <w:szCs w:val="21"/>
        </w:rPr>
        <w:t xml:space="preserve">Class Schedule</w:t>
      </w:r>
    </w:p>
    <w:tbl>
      <w:tblPr>
        <w:tblW w:type="dxa" w:w="9300"/>
        <w:tblBorders>
          <w:top w:val="single" w:color="auto" w:sz="4"/>
          <w:left w:val="single" w:color="auto" w:sz="4"/>
          <w:bottom w:val="single" w:color="auto" w:sz="4"/>
          <w:right w:val="single" w:color="auto" w:sz="4"/>
          <w:insideH w:val="single" w:color="auto" w:sz="4"/>
          <w:insideV w:val="single" w:color="auto" w:sz="4"/>
        </w:tblBorders>
      </w:tblPr>
      <w:tblGrid>
        <w:gridCol w:w="700"/>
        <w:gridCol w:w="2600"/>
        <w:gridCol w:w="1400"/>
        <w:gridCol w:w="4600"/>
      </w:tblGrid>
      <w:tr>
        <w:trPr>
          <w:tblHeader/>
        </w:trPr>
        <w:tc>
          <w:tcPr>
            <w:shd w:fill="0B1E39" w:val="clear"/>
            <w:tcMar>
              <w:top w:type="dxa" w:w="90"/>
              <w:left w:type="dxa" w:w="120"/>
              <w:bottom w:type="dxa" w:w="90"/>
              <w:right w:type="dxa" w:w="120"/>
            </w:tcMar>
          </w:tcPr>
          <w:p>
            <w:pPr>
              <w:jc w:val="center"/>
            </w:pPr>
            <w:r>
              <w:rPr>
                <w:rFonts w:ascii="Calibri" w:cs="Calibri" w:eastAsia="Calibri" w:hAnsi="Calibri"/>
                <w:b/>
                <w:bCs/>
                <w:color w:val="FFFFFF"/>
                <w:sz w:val="19"/>
                <w:szCs w:val="19"/>
              </w:rPr>
              <w:t xml:space="preserve">#</w:t>
            </w:r>
          </w:p>
        </w:tc>
        <w:tc>
          <w:tcPr>
            <w:shd w:fill="0B1E39" w:val="clear"/>
            <w:tcMar>
              <w:top w:type="dxa" w:w="90"/>
              <w:left w:type="dxa" w:w="120"/>
              <w:bottom w:type="dxa" w:w="90"/>
              <w:right w:type="dxa" w:w="120"/>
            </w:tcMar>
          </w:tcPr>
          <w:p>
            <w:pPr>
              <w:jc w:val="left"/>
            </w:pPr>
            <w:r>
              <w:rPr>
                <w:rFonts w:ascii="Calibri" w:cs="Calibri" w:eastAsia="Calibri" w:hAnsi="Calibri"/>
                <w:b/>
                <w:bCs/>
                <w:color w:val="FFFFFF"/>
                <w:sz w:val="19"/>
                <w:szCs w:val="19"/>
              </w:rPr>
              <w:t xml:space="preserve">Step</w:t>
            </w:r>
          </w:p>
        </w:tc>
        <w:tc>
          <w:tcPr>
            <w:shd w:fill="0B1E39" w:val="clear"/>
            <w:tcMar>
              <w:top w:type="dxa" w:w="90"/>
              <w:left w:type="dxa" w:w="120"/>
              <w:bottom w:type="dxa" w:w="90"/>
              <w:right w:type="dxa" w:w="120"/>
            </w:tcMar>
          </w:tcPr>
          <w:p>
            <w:pPr>
              <w:jc w:val="center"/>
            </w:pPr>
            <w:r>
              <w:rPr>
                <w:rFonts w:ascii="Calibri" w:cs="Calibri" w:eastAsia="Calibri" w:hAnsi="Calibri"/>
                <w:b/>
                <w:bCs/>
                <w:color w:val="FFFFFF"/>
                <w:sz w:val="19"/>
                <w:szCs w:val="19"/>
              </w:rPr>
              <w:t xml:space="preserve">Time</w:t>
            </w:r>
          </w:p>
        </w:tc>
        <w:tc>
          <w:tcPr>
            <w:shd w:fill="0B1E39" w:val="clear"/>
            <w:tcMar>
              <w:top w:type="dxa" w:w="90"/>
              <w:left w:type="dxa" w:w="120"/>
              <w:bottom w:type="dxa" w:w="90"/>
              <w:right w:type="dxa" w:w="120"/>
            </w:tcMar>
          </w:tcPr>
          <w:p>
            <w:pPr>
              <w:jc w:val="left"/>
            </w:pPr>
            <w:r>
              <w:rPr>
                <w:rFonts w:ascii="Calibri" w:cs="Calibri" w:eastAsia="Calibri" w:hAnsi="Calibri"/>
                <w:b/>
                <w:bCs/>
                <w:color w:val="FFFFFF"/>
                <w:sz w:val="19"/>
                <w:szCs w:val="19"/>
              </w:rPr>
              <w:t xml:space="preserve">Activity</w:t>
            </w:r>
          </w:p>
        </w:tc>
      </w:tr>
      <w:tr>
        <w:tc>
          <w:tcPr>
            <w:tcW w:type="dxa" w:w="700"/>
            <w:shd w:fill="FFFFFF" w:val="clear"/>
            <w:tcMar>
              <w:top w:type="dxa" w:w="90"/>
              <w:left w:type="dxa" w:w="120"/>
              <w:bottom w:type="dxa" w:w="90"/>
              <w:right w:type="dxa" w:w="120"/>
            </w:tcMar>
          </w:tcPr>
          <w:p>
            <w:pPr>
              <w:jc w:val="center"/>
            </w:pPr>
            <w:r>
              <w:rPr>
                <w:rFonts w:ascii="Calibri" w:cs="Calibri" w:eastAsia="Calibri" w:hAnsi="Calibri"/>
                <w:b/>
                <w:bCs/>
                <w:color w:val="13294B"/>
                <w:sz w:val="19"/>
                <w:szCs w:val="19"/>
              </w:rPr>
              <w:t xml:space="preserve">1</w:t>
            </w:r>
          </w:p>
        </w:tc>
        <w:tc>
          <w:tcPr>
            <w:tcW w:type="dxa" w:w="2600"/>
            <w:shd w:fill="FFFFFF" w:val="clear"/>
            <w:tcMar>
              <w:top w:type="dxa" w:w="90"/>
              <w:left w:type="dxa" w:w="120"/>
              <w:bottom w:type="dxa" w:w="90"/>
              <w:right w:type="dxa" w:w="120"/>
            </w:tcMar>
          </w:tcPr>
          <w:p>
            <w:r>
              <w:rPr>
                <w:rFonts w:ascii="Calibri" w:cs="Calibri" w:eastAsia="Calibri" w:hAnsi="Calibri"/>
                <w:b/>
                <w:bCs/>
                <w:color w:val="1A1A1A"/>
                <w:sz w:val="19"/>
                <w:szCs w:val="19"/>
              </w:rPr>
              <w:t xml:space="preserve">Framing</w:t>
            </w:r>
          </w:p>
        </w:tc>
        <w:tc>
          <w:tcPr>
            <w:tcW w:type="dxa" w:w="1400"/>
            <w:shd w:fill="FFFFFF" w:val="clear"/>
            <w:tcMar>
              <w:top w:type="dxa" w:w="90"/>
              <w:left w:type="dxa" w:w="120"/>
              <w:bottom w:type="dxa" w:w="90"/>
              <w:right w:type="dxa" w:w="120"/>
            </w:tcMar>
          </w:tcPr>
          <w:p>
            <w:pPr>
              <w:jc w:val="center"/>
            </w:pPr>
            <w:r>
              <w:rPr>
                <w:rFonts w:ascii="Calibri" w:cs="Calibri" w:eastAsia="Calibri" w:hAnsi="Calibri"/>
                <w:i/>
                <w:iCs/>
                <w:color w:val="B08D3D"/>
                <w:sz w:val="19"/>
                <w:szCs w:val="19"/>
              </w:rPr>
              <w:t xml:space="preserve">~10 min</w:t>
            </w:r>
          </w:p>
        </w:tc>
        <w:tc>
          <w:tcPr>
            <w:tcW w:type="dxa" w:w="4600"/>
            <w:shd w:fill="FFFFFF" w:val="clear"/>
            <w:tcMar>
              <w:top w:type="dxa" w:w="90"/>
              <w:left w:type="dxa" w:w="120"/>
              <w:bottom w:type="dxa" w:w="90"/>
              <w:right w:type="dxa" w:w="120"/>
            </w:tcMar>
          </w:tcPr>
          <w:p>
            <w:r>
              <w:rPr>
                <w:rFonts w:ascii="Calibri" w:cs="Calibri" w:eastAsia="Calibri" w:hAnsi="Calibri"/>
                <w:color w:val="1A1A1A"/>
                <w:sz w:val="19"/>
                <w:szCs w:val="19"/>
              </w:rPr>
              <w:t xml:space="preserve">Today's role-play is set up: each team acts as a listed company's disclosure committee.</w:t>
            </w:r>
          </w:p>
        </w:tc>
      </w:tr>
      <w:tr>
        <w:tc>
          <w:tcPr>
            <w:tcW w:type="dxa" w:w="700"/>
            <w:shd w:fill="F5F1E8" w:val="clear"/>
            <w:tcMar>
              <w:top w:type="dxa" w:w="90"/>
              <w:left w:type="dxa" w:w="120"/>
              <w:bottom w:type="dxa" w:w="90"/>
              <w:right w:type="dxa" w:w="120"/>
            </w:tcMar>
          </w:tcPr>
          <w:p>
            <w:pPr>
              <w:jc w:val="center"/>
            </w:pPr>
            <w:r>
              <w:rPr>
                <w:rFonts w:ascii="Calibri" w:cs="Calibri" w:eastAsia="Calibri" w:hAnsi="Calibri"/>
                <w:b/>
                <w:bCs/>
                <w:color w:val="13294B"/>
                <w:sz w:val="19"/>
                <w:szCs w:val="19"/>
              </w:rPr>
              <w:t xml:space="preserve">2</w:t>
            </w:r>
          </w:p>
        </w:tc>
        <w:tc>
          <w:tcPr>
            <w:tcW w:type="dxa" w:w="2600"/>
            <w:shd w:fill="F5F1E8" w:val="clear"/>
            <w:tcMar>
              <w:top w:type="dxa" w:w="90"/>
              <w:left w:type="dxa" w:w="120"/>
              <w:bottom w:type="dxa" w:w="90"/>
              <w:right w:type="dxa" w:w="120"/>
            </w:tcMar>
          </w:tcPr>
          <w:p>
            <w:r>
              <w:rPr>
                <w:rFonts w:ascii="Calibri" w:cs="Calibri" w:eastAsia="Calibri" w:hAnsi="Calibri"/>
                <w:b/>
                <w:bCs/>
                <w:color w:val="1A1A1A"/>
                <w:sz w:val="19"/>
                <w:szCs w:val="19"/>
              </w:rPr>
              <w:t xml:space="preserve">Scenario pack distribution</w:t>
            </w:r>
          </w:p>
        </w:tc>
        <w:tc>
          <w:tcPr>
            <w:tcW w:type="dxa" w:w="1400"/>
            <w:shd w:fill="F5F1E8" w:val="clear"/>
            <w:tcMar>
              <w:top w:type="dxa" w:w="90"/>
              <w:left w:type="dxa" w:w="120"/>
              <w:bottom w:type="dxa" w:w="90"/>
              <w:right w:type="dxa" w:w="120"/>
            </w:tcMar>
          </w:tcPr>
          <w:p>
            <w:pPr>
              <w:jc w:val="center"/>
            </w:pPr>
            <w:r>
              <w:rPr>
                <w:rFonts w:ascii="Calibri" w:cs="Calibri" w:eastAsia="Calibri" w:hAnsi="Calibri"/>
                <w:i/>
                <w:iCs/>
                <w:color w:val="B08D3D"/>
                <w:sz w:val="19"/>
                <w:szCs w:val="19"/>
              </w:rPr>
              <w:t xml:space="preserve">~5 min</w:t>
            </w:r>
          </w:p>
        </w:tc>
        <w:tc>
          <w:tcPr>
            <w:tcW w:type="dxa" w:w="4600"/>
            <w:shd w:fill="F5F1E8" w:val="clear"/>
            <w:tcMar>
              <w:top w:type="dxa" w:w="90"/>
              <w:left w:type="dxa" w:w="120"/>
              <w:bottom w:type="dxa" w:w="90"/>
              <w:right w:type="dxa" w:w="120"/>
            </w:tcMar>
          </w:tcPr>
          <w:p>
            <w:r>
              <w:rPr>
                <w:rFonts w:ascii="Calibri" w:cs="Calibri" w:eastAsia="Calibri" w:hAnsi="Calibri"/>
                <w:color w:val="1A1A1A"/>
                <w:sz w:val="19"/>
                <w:szCs w:val="19"/>
              </w:rPr>
              <w:t xml:space="preserve">Each of the three teams receives its own set of three material-event scenarios from the Session 3 Scenario Pack — within each team's set, two scenarios are designed to require disclosure and one is not, though which is which is left for the team to work out.</w:t>
            </w:r>
          </w:p>
        </w:tc>
      </w:tr>
      <w:tr>
        <w:tc>
          <w:tcPr>
            <w:tcW w:type="dxa" w:w="700"/>
            <w:shd w:fill="FFFFFF" w:val="clear"/>
            <w:tcMar>
              <w:top w:type="dxa" w:w="90"/>
              <w:left w:type="dxa" w:w="120"/>
              <w:bottom w:type="dxa" w:w="90"/>
              <w:right w:type="dxa" w:w="120"/>
            </w:tcMar>
          </w:tcPr>
          <w:p>
            <w:pPr>
              <w:jc w:val="center"/>
            </w:pPr>
            <w:r>
              <w:rPr>
                <w:rFonts w:ascii="Calibri" w:cs="Calibri" w:eastAsia="Calibri" w:hAnsi="Calibri"/>
                <w:b/>
                <w:bCs/>
                <w:color w:val="13294B"/>
                <w:sz w:val="19"/>
                <w:szCs w:val="19"/>
              </w:rPr>
              <w:t xml:space="preserve">3</w:t>
            </w:r>
          </w:p>
        </w:tc>
        <w:tc>
          <w:tcPr>
            <w:tcW w:type="dxa" w:w="2600"/>
            <w:shd w:fill="FFFFFF" w:val="clear"/>
            <w:tcMar>
              <w:top w:type="dxa" w:w="90"/>
              <w:left w:type="dxa" w:w="120"/>
              <w:bottom w:type="dxa" w:w="90"/>
              <w:right w:type="dxa" w:w="120"/>
            </w:tcMar>
          </w:tcPr>
          <w:p>
            <w:r>
              <w:rPr>
                <w:rFonts w:ascii="Calibri" w:cs="Calibri" w:eastAsia="Calibri" w:hAnsi="Calibri"/>
                <w:b/>
                <w:bCs/>
                <w:color w:val="1A1A1A"/>
                <w:sz w:val="19"/>
                <w:szCs w:val="19"/>
              </w:rPr>
              <w:t xml:space="preserve">Team analysis</w:t>
            </w:r>
          </w:p>
        </w:tc>
        <w:tc>
          <w:tcPr>
            <w:tcW w:type="dxa" w:w="1400"/>
            <w:shd w:fill="FFFFFF" w:val="clear"/>
            <w:tcMar>
              <w:top w:type="dxa" w:w="90"/>
              <w:left w:type="dxa" w:w="120"/>
              <w:bottom w:type="dxa" w:w="90"/>
              <w:right w:type="dxa" w:w="120"/>
            </w:tcMar>
          </w:tcPr>
          <w:p>
            <w:pPr>
              <w:jc w:val="center"/>
            </w:pPr>
            <w:r>
              <w:rPr>
                <w:rFonts w:ascii="Calibri" w:cs="Calibri" w:eastAsia="Calibri" w:hAnsi="Calibri"/>
                <w:i/>
                <w:iCs/>
                <w:color w:val="B08D3D"/>
                <w:sz w:val="19"/>
                <w:szCs w:val="19"/>
              </w:rPr>
              <w:t xml:space="preserve">~40 min</w:t>
            </w:r>
          </w:p>
        </w:tc>
        <w:tc>
          <w:tcPr>
            <w:tcW w:type="dxa" w:w="4600"/>
            <w:shd w:fill="FFFFFF" w:val="clear"/>
            <w:tcMar>
              <w:top w:type="dxa" w:w="90"/>
              <w:left w:type="dxa" w:w="120"/>
              <w:bottom w:type="dxa" w:w="90"/>
              <w:right w:type="dxa" w:w="120"/>
            </w:tcMar>
          </w:tcPr>
          <w:p>
            <w:r>
              <w:rPr>
                <w:rFonts w:ascii="Calibri" w:cs="Calibri" w:eastAsia="Calibri" w:hAnsi="Calibri"/>
                <w:color w:val="1A1A1A"/>
                <w:sz w:val="19"/>
                <w:szCs w:val="19"/>
              </w:rPr>
              <w:t xml:space="preserve">For each of its three scenarios, the team determines: (a) whether the event is material, using the probability-×-magnitude test; (b) whether and when disclosure is required under SPK rules; and (c) whether a lawful delay in disclosure is available, and under what conditions.</w:t>
            </w:r>
          </w:p>
        </w:tc>
      </w:tr>
      <w:tr>
        <w:tc>
          <w:tcPr>
            <w:tcW w:type="dxa" w:w="700"/>
            <w:shd w:fill="F5F1E8" w:val="clear"/>
            <w:tcMar>
              <w:top w:type="dxa" w:w="90"/>
              <w:left w:type="dxa" w:w="120"/>
              <w:bottom w:type="dxa" w:w="90"/>
              <w:right w:type="dxa" w:w="120"/>
            </w:tcMar>
          </w:tcPr>
          <w:p>
            <w:pPr>
              <w:jc w:val="center"/>
            </w:pPr>
            <w:r>
              <w:rPr>
                <w:rFonts w:ascii="Calibri" w:cs="Calibri" w:eastAsia="Calibri" w:hAnsi="Calibri"/>
                <w:b/>
                <w:bCs/>
                <w:color w:val="13294B"/>
                <w:sz w:val="19"/>
                <w:szCs w:val="19"/>
              </w:rPr>
              <w:t xml:space="preserve">4</w:t>
            </w:r>
          </w:p>
        </w:tc>
        <w:tc>
          <w:tcPr>
            <w:tcW w:type="dxa" w:w="2600"/>
            <w:shd w:fill="F5F1E8" w:val="clear"/>
            <w:tcMar>
              <w:top w:type="dxa" w:w="90"/>
              <w:left w:type="dxa" w:w="120"/>
              <w:bottom w:type="dxa" w:w="90"/>
              <w:right w:type="dxa" w:w="120"/>
            </w:tcMar>
          </w:tcPr>
          <w:p>
            <w:r>
              <w:rPr>
                <w:rFonts w:ascii="Calibri" w:cs="Calibri" w:eastAsia="Calibri" w:hAnsi="Calibri"/>
                <w:b/>
                <w:bCs/>
                <w:color w:val="1A1A1A"/>
                <w:sz w:val="19"/>
                <w:szCs w:val="19"/>
              </w:rPr>
              <w:t xml:space="preserve">Cross-team challenge round</w:t>
            </w:r>
          </w:p>
        </w:tc>
        <w:tc>
          <w:tcPr>
            <w:tcW w:type="dxa" w:w="1400"/>
            <w:shd w:fill="F5F1E8" w:val="clear"/>
            <w:tcMar>
              <w:top w:type="dxa" w:w="90"/>
              <w:left w:type="dxa" w:w="120"/>
              <w:bottom w:type="dxa" w:w="90"/>
              <w:right w:type="dxa" w:w="120"/>
            </w:tcMar>
          </w:tcPr>
          <w:p>
            <w:pPr>
              <w:jc w:val="center"/>
            </w:pPr>
            <w:r>
              <w:rPr>
                <w:rFonts w:ascii="Calibri" w:cs="Calibri" w:eastAsia="Calibri" w:hAnsi="Calibri"/>
                <w:i/>
                <w:iCs/>
                <w:color w:val="B08D3D"/>
                <w:sz w:val="19"/>
                <w:szCs w:val="19"/>
              </w:rPr>
              <w:t xml:space="preserve">~35 min</w:t>
            </w:r>
          </w:p>
        </w:tc>
        <w:tc>
          <w:tcPr>
            <w:tcW w:type="dxa" w:w="4600"/>
            <w:shd w:fill="F5F1E8" w:val="clear"/>
            <w:tcMar>
              <w:top w:type="dxa" w:w="90"/>
              <w:left w:type="dxa" w:w="120"/>
              <w:bottom w:type="dxa" w:w="90"/>
              <w:right w:type="dxa" w:w="120"/>
            </w:tcMar>
          </w:tcPr>
          <w:p>
            <w:r>
              <w:rPr>
                <w:rFonts w:ascii="Calibri" w:cs="Calibri" w:eastAsia="Calibri" w:hAnsi="Calibri"/>
                <w:color w:val="1A1A1A"/>
                <w:sz w:val="19"/>
                <w:szCs w:val="19"/>
              </w:rPr>
              <w:t xml:space="preserve">Each team presents its three conclusions to the room; the other two teams challenge the reasoning — particularly on whichever scenario the presenting team concluded did not require disclosure.</w:t>
            </w:r>
          </w:p>
        </w:tc>
      </w:tr>
      <w:tr>
        <w:tc>
          <w:tcPr>
            <w:tcW w:type="dxa" w:w="700"/>
            <w:shd w:fill="FFFFFF" w:val="clear"/>
            <w:tcMar>
              <w:top w:type="dxa" w:w="90"/>
              <w:left w:type="dxa" w:w="120"/>
              <w:bottom w:type="dxa" w:w="90"/>
              <w:right w:type="dxa" w:w="120"/>
            </w:tcMar>
          </w:tcPr>
          <w:p>
            <w:pPr>
              <w:jc w:val="center"/>
            </w:pPr>
            <w:r>
              <w:rPr>
                <w:rFonts w:ascii="Calibri" w:cs="Calibri" w:eastAsia="Calibri" w:hAnsi="Calibri"/>
                <w:b/>
                <w:bCs/>
                <w:color w:val="13294B"/>
                <w:sz w:val="19"/>
                <w:szCs w:val="19"/>
              </w:rPr>
              <w:t xml:space="preserve">5</w:t>
            </w:r>
          </w:p>
        </w:tc>
        <w:tc>
          <w:tcPr>
            <w:tcW w:type="dxa" w:w="2600"/>
            <w:shd w:fill="FFFFFF" w:val="clear"/>
            <w:tcMar>
              <w:top w:type="dxa" w:w="90"/>
              <w:left w:type="dxa" w:w="120"/>
              <w:bottom w:type="dxa" w:w="90"/>
              <w:right w:type="dxa" w:w="120"/>
            </w:tcMar>
          </w:tcPr>
          <w:p>
            <w:r>
              <w:rPr>
                <w:rFonts w:ascii="Calibri" w:cs="Calibri" w:eastAsia="Calibri" w:hAnsi="Calibri"/>
                <w:b/>
                <w:bCs/>
                <w:color w:val="1A1A1A"/>
                <w:sz w:val="19"/>
                <w:szCs w:val="19"/>
              </w:rPr>
              <w:t xml:space="preserve">Synthesis and review</w:t>
            </w:r>
          </w:p>
        </w:tc>
        <w:tc>
          <w:tcPr>
            <w:tcW w:type="dxa" w:w="1400"/>
            <w:shd w:fill="FFFFFF" w:val="clear"/>
            <w:tcMar>
              <w:top w:type="dxa" w:w="90"/>
              <w:left w:type="dxa" w:w="120"/>
              <w:bottom w:type="dxa" w:w="90"/>
              <w:right w:type="dxa" w:w="120"/>
            </w:tcMar>
          </w:tcPr>
          <w:p>
            <w:pPr>
              <w:jc w:val="center"/>
            </w:pPr>
            <w:r>
              <w:rPr>
                <w:rFonts w:ascii="Calibri" w:cs="Calibri" w:eastAsia="Calibri" w:hAnsi="Calibri"/>
                <w:i/>
                <w:iCs/>
                <w:color w:val="B08D3D"/>
                <w:sz w:val="19"/>
                <w:szCs w:val="19"/>
              </w:rPr>
              <w:t xml:space="preserve">~20 min</w:t>
            </w:r>
          </w:p>
        </w:tc>
        <w:tc>
          <w:tcPr>
            <w:tcW w:type="dxa" w:w="4600"/>
            <w:shd w:fill="FFFFFF" w:val="clear"/>
            <w:tcMar>
              <w:top w:type="dxa" w:w="90"/>
              <w:left w:type="dxa" w:w="120"/>
              <w:bottom w:type="dxa" w:w="90"/>
              <w:right w:type="dxa" w:w="120"/>
            </w:tcMar>
          </w:tcPr>
          <w:p>
            <w:r>
              <w:rPr>
                <w:rFonts w:ascii="Calibri" w:cs="Calibri" w:eastAsia="Calibri" w:hAnsi="Calibri"/>
                <w:color w:val="1A1A1A"/>
                <w:sz w:val="19"/>
                <w:szCs w:val="19"/>
              </w:rPr>
              <w:t xml:space="preserve">The more defensible answers and the most common errors are reviewed — for example, confusing a development's internal significance to management with its materiality to the market.</w:t>
            </w:r>
          </w:p>
        </w:tc>
      </w:tr>
      <w:tr>
        <w:tc>
          <w:tcPr>
            <w:tcW w:type="dxa" w:w="700"/>
            <w:shd w:fill="F5F1E8" w:val="clear"/>
            <w:tcMar>
              <w:top w:type="dxa" w:w="90"/>
              <w:left w:type="dxa" w:w="120"/>
              <w:bottom w:type="dxa" w:w="90"/>
              <w:right w:type="dxa" w:w="120"/>
            </w:tcMar>
          </w:tcPr>
          <w:p>
            <w:pPr>
              <w:jc w:val="center"/>
            </w:pPr>
            <w:r>
              <w:rPr>
                <w:rFonts w:ascii="Calibri" w:cs="Calibri" w:eastAsia="Calibri" w:hAnsi="Calibri"/>
                <w:b/>
                <w:bCs/>
                <w:color w:val="13294B"/>
                <w:sz w:val="19"/>
                <w:szCs w:val="19"/>
              </w:rPr>
              <w:t xml:space="preserve">6</w:t>
            </w:r>
          </w:p>
        </w:tc>
        <w:tc>
          <w:tcPr>
            <w:tcW w:type="dxa" w:w="2600"/>
            <w:shd w:fill="F5F1E8" w:val="clear"/>
            <w:tcMar>
              <w:top w:type="dxa" w:w="90"/>
              <w:left w:type="dxa" w:w="120"/>
              <w:bottom w:type="dxa" w:w="90"/>
              <w:right w:type="dxa" w:w="120"/>
            </w:tcMar>
          </w:tcPr>
          <w:p>
            <w:r>
              <w:rPr>
                <w:rFonts w:ascii="Calibri" w:cs="Calibri" w:eastAsia="Calibri" w:hAnsi="Calibri"/>
                <w:b/>
                <w:bCs/>
                <w:color w:val="1A1A1A"/>
                <w:sz w:val="19"/>
                <w:szCs w:val="19"/>
              </w:rPr>
              <w:t xml:space="preserve">Bridge to ongoing work</w:t>
            </w:r>
          </w:p>
        </w:tc>
        <w:tc>
          <w:tcPr>
            <w:tcW w:type="dxa" w:w="1400"/>
            <w:shd w:fill="F5F1E8" w:val="clear"/>
            <w:tcMar>
              <w:top w:type="dxa" w:w="90"/>
              <w:left w:type="dxa" w:w="120"/>
              <w:bottom w:type="dxa" w:w="90"/>
              <w:right w:type="dxa" w:w="120"/>
            </w:tcMar>
          </w:tcPr>
          <w:p>
            <w:pPr>
              <w:jc w:val="center"/>
            </w:pPr>
            <w:r>
              <w:rPr>
                <w:rFonts w:ascii="Calibri" w:cs="Calibri" w:eastAsia="Calibri" w:hAnsi="Calibri"/>
                <w:i/>
                <w:iCs/>
                <w:color w:val="B08D3D"/>
                <w:sz w:val="19"/>
                <w:szCs w:val="19"/>
              </w:rPr>
              <w:t xml:space="preserve">~10 min</w:t>
            </w:r>
          </w:p>
        </w:tc>
        <w:tc>
          <w:tcPr>
            <w:tcW w:type="dxa" w:w="4600"/>
            <w:shd w:fill="F5F1E8" w:val="clear"/>
            <w:tcMar>
              <w:top w:type="dxa" w:w="90"/>
              <w:left w:type="dxa" w:w="120"/>
              <w:bottom w:type="dxa" w:w="90"/>
              <w:right w:type="dxa" w:w="120"/>
            </w:tcMar>
          </w:tcPr>
          <w:p>
            <w:r>
              <w:rPr>
                <w:rFonts w:ascii="Calibri" w:cs="Calibri" w:eastAsia="Calibri" w:hAnsi="Calibri"/>
                <w:color w:val="1A1A1A"/>
                <w:sz w:val="19"/>
                <w:szCs w:val="19"/>
              </w:rPr>
              <w:t xml:space="preserve">A reminder is given that GW2 is due at the start of next session; no new assignment is given today, but today's materiality framework should be applied directly to GW2's evidence pack.</w:t>
            </w:r>
          </w:p>
        </w:tc>
      </w:tr>
      <w:tr>
        <w:tc>
          <w:tcPr>
            <w:gridSpan w:val="2"/>
            <w:shd w:fill="13294B" w:val="clear"/>
            <w:tcMar>
              <w:top w:type="dxa" w:w="90"/>
              <w:left w:type="dxa" w:w="120"/>
              <w:bottom w:type="dxa" w:w="90"/>
              <w:right w:type="dxa" w:w="120"/>
            </w:tcMar>
          </w:tcPr>
          <w:p>
            <w:r>
              <w:rPr>
                <w:rFonts w:ascii="Calibri" w:cs="Calibri" w:eastAsia="Calibri" w:hAnsi="Calibri"/>
                <w:b/>
                <w:bCs/>
                <w:color w:val="FFFFFF"/>
                <w:sz w:val="19"/>
                <w:szCs w:val="19"/>
              </w:rPr>
              <w:t xml:space="preserve">Total</w:t>
            </w:r>
          </w:p>
        </w:tc>
        <w:tc>
          <w:tcPr>
            <w:gridSpan w:val="2"/>
            <w:shd w:fill="13294B" w:val="clear"/>
            <w:tcMar>
              <w:top w:type="dxa" w:w="90"/>
              <w:left w:type="dxa" w:w="120"/>
              <w:bottom w:type="dxa" w:w="90"/>
              <w:right w:type="dxa" w:w="120"/>
            </w:tcMar>
          </w:tcPr>
          <w:p>
            <w:r>
              <w:rPr>
                <w:rFonts w:ascii="Calibri" w:cs="Calibri" w:eastAsia="Calibri" w:hAnsi="Calibri"/>
                <w:b/>
                <w:bCs/>
                <w:color w:val="D9C48A"/>
                <w:sz w:val="19"/>
                <w:szCs w:val="19"/>
              </w:rPr>
              <w:t xml:space="preserve">2 hours (120 minutes), no breaks</w:t>
            </w:r>
          </w:p>
        </w:tc>
      </w:tr>
    </w:tbl>
    <w:p>
      <w:pPr>
        <w:spacing w:after="60" w:before="160"/>
      </w:pPr>
      <w:r>
        <w:rPr>
          <w:rFonts w:ascii="Georgia" w:cs="Georgia" w:eastAsia="Georgia" w:hAnsi="Georgia"/>
          <w:b/>
          <w:bCs/>
          <w:color w:val="13294B"/>
          <w:sz w:val="23"/>
          <w:szCs w:val="23"/>
        </w:rPr>
        <w:t xml:space="preserve">Step-by-Step Detail</w:t>
      </w:r>
    </w:p>
    <w:p>
      <w:pPr>
        <w:spacing w:after="130"/>
      </w:pPr>
      <w:r>
        <w:rPr>
          <w:rFonts w:ascii="Calibri" w:cs="Calibri" w:eastAsia="Calibri" w:hAnsi="Calibri"/>
          <w:b/>
          <w:bCs/>
          <w:color w:val="13294B"/>
          <w:sz w:val="21"/>
          <w:szCs w:val="21"/>
        </w:rPr>
        <w:t xml:space="preserve">1. Framing </w:t>
      </w:r>
      <w:r>
        <w:rPr>
          <w:rFonts w:ascii="Calibri" w:cs="Calibri" w:eastAsia="Calibri" w:hAnsi="Calibri"/>
          <w:i/>
          <w:iCs/>
          <w:color w:val="B08D3D"/>
          <w:sz w:val="20"/>
          <w:szCs w:val="20"/>
        </w:rPr>
        <w:t xml:space="preserve">(~10 min)</w:t>
      </w:r>
      <w:r>
        <w:rPr>
          <w:rFonts w:ascii="Calibri" w:cs="Calibri" w:eastAsia="Calibri" w:hAnsi="Calibri"/>
          <w:color w:val="1A1A1A"/>
          <w:sz w:val="21"/>
          <w:szCs w:val="21"/>
        </w:rPr>
        <w:t xml:space="preserve">. Today's role-play is set up: each team acts as a listed company's disclosure committee.</w:t>
      </w:r>
    </w:p>
    <w:p>
      <w:pPr>
        <w:spacing w:after="130"/>
      </w:pPr>
      <w:r>
        <w:rPr>
          <w:rFonts w:ascii="Calibri" w:cs="Calibri" w:eastAsia="Calibri" w:hAnsi="Calibri"/>
          <w:b/>
          <w:bCs/>
          <w:color w:val="13294B"/>
          <w:sz w:val="21"/>
          <w:szCs w:val="21"/>
        </w:rPr>
        <w:t xml:space="preserve">2. Scenario pack distribution </w:t>
      </w:r>
      <w:r>
        <w:rPr>
          <w:rFonts w:ascii="Calibri" w:cs="Calibri" w:eastAsia="Calibri" w:hAnsi="Calibri"/>
          <w:i/>
          <w:iCs/>
          <w:color w:val="B08D3D"/>
          <w:sz w:val="20"/>
          <w:szCs w:val="20"/>
        </w:rPr>
        <w:t xml:space="preserve">(~5 min)</w:t>
      </w:r>
      <w:r>
        <w:rPr>
          <w:rFonts w:ascii="Calibri" w:cs="Calibri" w:eastAsia="Calibri" w:hAnsi="Calibri"/>
          <w:color w:val="1A1A1A"/>
          <w:sz w:val="21"/>
          <w:szCs w:val="21"/>
        </w:rPr>
        <w:t xml:space="preserve">. Each of the three teams receives its own set of three material-event scenarios from the Session 3 Scenario Pack — within each team's set, two scenarios are designed to require disclosure and one is not, though which is which is left for the team to work out.</w:t>
      </w:r>
    </w:p>
    <w:p>
      <w:pPr>
        <w:spacing w:after="130"/>
      </w:pPr>
      <w:r>
        <w:rPr>
          <w:rFonts w:ascii="Calibri" w:cs="Calibri" w:eastAsia="Calibri" w:hAnsi="Calibri"/>
          <w:b/>
          <w:bCs/>
          <w:color w:val="13294B"/>
          <w:sz w:val="21"/>
          <w:szCs w:val="21"/>
        </w:rPr>
        <w:t xml:space="preserve">3. Team analysis </w:t>
      </w:r>
      <w:r>
        <w:rPr>
          <w:rFonts w:ascii="Calibri" w:cs="Calibri" w:eastAsia="Calibri" w:hAnsi="Calibri"/>
          <w:i/>
          <w:iCs/>
          <w:color w:val="B08D3D"/>
          <w:sz w:val="20"/>
          <w:szCs w:val="20"/>
        </w:rPr>
        <w:t xml:space="preserve">(~40 min)</w:t>
      </w:r>
      <w:r>
        <w:rPr>
          <w:rFonts w:ascii="Calibri" w:cs="Calibri" w:eastAsia="Calibri" w:hAnsi="Calibri"/>
          <w:color w:val="1A1A1A"/>
          <w:sz w:val="21"/>
          <w:szCs w:val="21"/>
        </w:rPr>
        <w:t xml:space="preserve">. For each of its three scenarios, the team determines: (a) whether the event is material, using the probability-×-magnitude test; (b) whether and when disclosure is required under SPK rules; and (c) whether a lawful delay in disclosure is available, and under what conditions.</w:t>
      </w:r>
    </w:p>
    <w:p>
      <w:pPr>
        <w:spacing w:after="130"/>
      </w:pPr>
      <w:r>
        <w:rPr>
          <w:rFonts w:ascii="Calibri" w:cs="Calibri" w:eastAsia="Calibri" w:hAnsi="Calibri"/>
          <w:b/>
          <w:bCs/>
          <w:color w:val="13294B"/>
          <w:sz w:val="21"/>
          <w:szCs w:val="21"/>
        </w:rPr>
        <w:t xml:space="preserve">4. Cross-team challenge round </w:t>
      </w:r>
      <w:r>
        <w:rPr>
          <w:rFonts w:ascii="Calibri" w:cs="Calibri" w:eastAsia="Calibri" w:hAnsi="Calibri"/>
          <w:i/>
          <w:iCs/>
          <w:color w:val="B08D3D"/>
          <w:sz w:val="20"/>
          <w:szCs w:val="20"/>
        </w:rPr>
        <w:t xml:space="preserve">(~35 min)</w:t>
      </w:r>
      <w:r>
        <w:rPr>
          <w:rFonts w:ascii="Calibri" w:cs="Calibri" w:eastAsia="Calibri" w:hAnsi="Calibri"/>
          <w:color w:val="1A1A1A"/>
          <w:sz w:val="21"/>
          <w:szCs w:val="21"/>
        </w:rPr>
        <w:t xml:space="preserve">. Each team presents its three conclusions to the room; the other two teams challenge the reasoning — particularly on whichever scenario the presenting team concluded did not require disclosure.</w:t>
      </w:r>
    </w:p>
    <w:p>
      <w:pPr>
        <w:spacing w:after="130"/>
      </w:pPr>
      <w:r>
        <w:rPr>
          <w:rFonts w:ascii="Calibri" w:cs="Calibri" w:eastAsia="Calibri" w:hAnsi="Calibri"/>
          <w:b/>
          <w:bCs/>
          <w:color w:val="13294B"/>
          <w:sz w:val="21"/>
          <w:szCs w:val="21"/>
        </w:rPr>
        <w:t xml:space="preserve">5. Synthesis and review </w:t>
      </w:r>
      <w:r>
        <w:rPr>
          <w:rFonts w:ascii="Calibri" w:cs="Calibri" w:eastAsia="Calibri" w:hAnsi="Calibri"/>
          <w:i/>
          <w:iCs/>
          <w:color w:val="B08D3D"/>
          <w:sz w:val="20"/>
          <w:szCs w:val="20"/>
        </w:rPr>
        <w:t xml:space="preserve">(~20 min)</w:t>
      </w:r>
      <w:r>
        <w:rPr>
          <w:rFonts w:ascii="Calibri" w:cs="Calibri" w:eastAsia="Calibri" w:hAnsi="Calibri"/>
          <w:color w:val="1A1A1A"/>
          <w:sz w:val="21"/>
          <w:szCs w:val="21"/>
        </w:rPr>
        <w:t xml:space="preserve">. The more defensible answers and the most common errors are reviewed — for example, confusing a development's internal significance to management with its materiality to the market.</w:t>
      </w:r>
    </w:p>
    <w:p>
      <w:pPr>
        <w:spacing w:after="130"/>
      </w:pPr>
      <w:r>
        <w:rPr>
          <w:rFonts w:ascii="Calibri" w:cs="Calibri" w:eastAsia="Calibri" w:hAnsi="Calibri"/>
          <w:b/>
          <w:bCs/>
          <w:color w:val="13294B"/>
          <w:sz w:val="21"/>
          <w:szCs w:val="21"/>
        </w:rPr>
        <w:t xml:space="preserve">6. Bridge to ongoing work </w:t>
      </w:r>
      <w:r>
        <w:rPr>
          <w:rFonts w:ascii="Calibri" w:cs="Calibri" w:eastAsia="Calibri" w:hAnsi="Calibri"/>
          <w:i/>
          <w:iCs/>
          <w:color w:val="B08D3D"/>
          <w:sz w:val="20"/>
          <w:szCs w:val="20"/>
        </w:rPr>
        <w:t xml:space="preserve">(~10 min)</w:t>
      </w:r>
      <w:r>
        <w:rPr>
          <w:rFonts w:ascii="Calibri" w:cs="Calibri" w:eastAsia="Calibri" w:hAnsi="Calibri"/>
          <w:color w:val="1A1A1A"/>
          <w:sz w:val="21"/>
          <w:szCs w:val="21"/>
        </w:rPr>
        <w:t xml:space="preserve">. A reminder is given that GW2 is due at the start of next session; no new assignment is given today, but today's materiality framework should be applied directly to GW2's evidence pack.</w:t>
      </w:r>
    </w:p>
    <w:p>
      <w:pPr>
        <w:pStyle w:val="Heading1"/>
        <w:pBdr>
          <w:bottom w:val="single" w:color="B08D3D" w:sz="6" w:space="4"/>
        </w:pBdr>
        <w:spacing w:after="150" w:before="300"/>
      </w:pPr>
      <w:r>
        <w:rPr>
          <w:rFonts w:ascii="Georgia" w:cs="Georgia" w:eastAsia="Georgia" w:hAnsi="Georgia"/>
          <w:b/>
          <w:bCs/>
          <w:color w:val="0B1E39"/>
          <w:sz w:val="28"/>
          <w:szCs w:val="28"/>
        </w:rPr>
        <w:t xml:space="preserve">3. Previously Assigned Work Due This Session</w:t>
      </w:r>
    </w:p>
    <w:tbl>
      <w:tblPr>
        <w:tblW w:type="dxa" w:w="97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9700"/>
            <w:tcBorders>
              <w:top w:val="single" w:color="B08D3D" w:sz="4"/>
              <w:left w:val="single" w:color="B08D3D" w:sz="16"/>
              <w:bottom w:val="single" w:color="B08D3D" w:sz="4"/>
              <w:right w:val="single" w:color="B08D3D" w:sz="4"/>
            </w:tcBorders>
            <w:shd w:fill="F5F1E8" w:val="clear"/>
            <w:tcMar>
              <w:top w:type="dxa" w:w="140"/>
              <w:left w:type="dxa" w:w="200"/>
              <w:bottom w:type="dxa" w:w="140"/>
              <w:right w:type="dxa" w:w="200"/>
            </w:tcMar>
          </w:tcPr>
          <w:p>
            <w:pPr>
              <w:spacing w:after="60"/>
            </w:pPr>
            <w:r>
              <w:rPr>
                <w:rFonts w:ascii="Georgia" w:cs="Georgia" w:eastAsia="Georgia" w:hAnsi="Georgia"/>
                <w:b/>
                <w:bCs/>
                <w:color w:val="0B1E39"/>
                <w:sz w:val="22"/>
                <w:szCs w:val="22"/>
              </w:rPr>
              <w:t xml:space="preserve">GW1 — Corporate Portfolio &amp; Capital Allocation Diagnostic (Group Work, 15%)</w:t>
            </w:r>
          </w:p>
          <w:p>
            <w:r>
              <w:rPr>
                <w:rFonts w:ascii="Calibri" w:cs="Calibri" w:eastAsia="Calibri" w:hAnsi="Calibri"/>
                <w:color w:val="1A1A1A"/>
                <w:sz w:val="21"/>
                <w:szCs w:val="21"/>
              </w:rPr>
              <w:t xml:space="preserve">Due at the start of this session. Submit as a single PDF or Word document per team, with the one-page executive summary at the front as specified in the Session 1 guide.</w:t>
            </w:r>
          </w:p>
        </w:tc>
      </w:tr>
    </w:tbl>
    <w:p>
      <w:pPr>
        <w:spacing w:before="240"/>
      </w:pPr>
    </w:p>
    <w:p>
      <w:pPr>
        <w:pStyle w:val="Heading1"/>
        <w:pBdr>
          <w:bottom w:val="single" w:color="B08D3D" w:sz="6" w:space="4"/>
        </w:pBdr>
        <w:spacing w:after="150" w:before="300"/>
      </w:pPr>
      <w:r>
        <w:rPr>
          <w:rFonts w:ascii="Georgia" w:cs="Georgia" w:eastAsia="Georgia" w:hAnsi="Georgia"/>
          <w:b/>
          <w:bCs/>
          <w:color w:val="0B1E39"/>
          <w:sz w:val="28"/>
          <w:szCs w:val="28"/>
        </w:rPr>
        <w:t xml:space="preserve">4. Assignment(s) Given This Session</w:t>
      </w:r>
    </w:p>
    <w:tbl>
      <w:tblPr>
        <w:tblW w:type="dxa" w:w="97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9700"/>
            <w:tcBorders>
              <w:top w:val="single" w:color="13294B" w:sz="4"/>
              <w:left w:val="single" w:color="13294B" w:sz="16"/>
              <w:bottom w:val="single" w:color="13294B" w:sz="4"/>
              <w:right w:val="single" w:color="13294B" w:sz="4"/>
            </w:tcBorders>
            <w:shd w:fill="F5F1E8" w:val="clear"/>
            <w:tcMar>
              <w:top w:type="dxa" w:w="140"/>
              <w:left w:type="dxa" w:w="200"/>
              <w:bottom w:type="dxa" w:w="140"/>
              <w:right w:type="dxa" w:w="200"/>
            </w:tcMar>
          </w:tcPr>
          <w:p>
            <w:pPr>
              <w:spacing w:after="60"/>
            </w:pPr>
            <w:r>
              <w:rPr>
                <w:rFonts w:ascii="Georgia" w:cs="Georgia" w:eastAsia="Georgia" w:hAnsi="Georgia"/>
                <w:b/>
                <w:bCs/>
                <w:color w:val="0B1E39"/>
                <w:sz w:val="22"/>
                <w:szCs w:val="22"/>
              </w:rPr>
              <w:t xml:space="preserve">No new group or individual assignment is given this session.</w:t>
            </w:r>
          </w:p>
          <w:p>
            <w:r>
              <w:rPr>
                <w:rFonts w:ascii="Calibri" w:cs="Calibri" w:eastAsia="Calibri" w:hAnsi="Calibri"/>
                <w:color w:val="1A1A1A"/>
                <w:sz w:val="21"/>
                <w:szCs w:val="21"/>
              </w:rPr>
              <w:t xml:space="preserve"/>
            </w:r>
          </w:p>
        </w:tc>
      </w:tr>
    </w:tbl>
    <w:p>
      <w:pPr>
        <w:pStyle w:val="Heading2"/>
        <w:spacing w:after="150" w:before="300"/>
      </w:pPr>
      <w:r>
        <w:rPr>
          <w:rFonts w:ascii="Georgia" w:cs="Georgia" w:eastAsia="Georgia" w:hAnsi="Georgia"/>
          <w:b/>
          <w:bCs/>
          <w:color w:val="13294B"/>
          <w:sz w:val="23"/>
          <w:szCs w:val="23"/>
        </w:rPr>
        <w:t xml:space="preserve">Purpose</w:t>
      </w:r>
    </w:p>
    <w:p>
      <w:pPr>
        <w:spacing w:after="130"/>
      </w:pPr>
      <w:r>
        <w:rPr>
          <w:rFonts w:ascii="Calibri" w:cs="Calibri" w:eastAsia="Calibri" w:hAnsi="Calibri"/>
          <w:color w:val="1A1A1A"/>
          <w:sz w:val="21"/>
          <w:szCs w:val="21"/>
        </w:rPr>
        <w:t xml:space="preserve">Continue work on GW2 (Activist &amp; Capital Market Pressure Simulation), assigned in Session 2 and due at the start of Session 4.</w:t>
      </w:r>
    </w:p>
    <w:p>
      <w:pPr>
        <w:pStyle w:val="Heading2"/>
        <w:spacing w:after="150" w:before="300"/>
      </w:pPr>
      <w:r>
        <w:rPr>
          <w:rFonts w:ascii="Georgia" w:cs="Georgia" w:eastAsia="Georgia" w:hAnsi="Georgia"/>
          <w:b/>
          <w:bCs/>
          <w:color w:val="13294B"/>
          <w:sz w:val="23"/>
          <w:szCs w:val="23"/>
        </w:rPr>
        <w:t xml:space="preserve">How to Process What You Find</w:t>
      </w:r>
    </w:p>
    <w:p>
      <w:pPr>
        <w:pStyle w:val="ListParagraph"/>
        <w:numPr>
          <w:ilvl w:val="0"/>
          <w:numId w:val="2"/>
        </w:numPr>
        <w:spacing w:after="110"/>
      </w:pPr>
      <w:r>
        <w:rPr>
          <w:rFonts w:ascii="Calibri" w:cs="Calibri" w:eastAsia="Calibri" w:hAnsi="Calibri"/>
          <w:color w:val="1A1A1A"/>
          <w:sz w:val="21"/>
          <w:szCs w:val="21"/>
        </w:rPr>
        <w:t xml:space="preserve">Apply today's materiality framework to your GW2 evidence pack: for every piece of evidence you plan to use against your assigned company, ask whether it is something the company would itself have had to disclose — if so, you can treat it with more confidence as complete and accurate; if not, flag it more cautiously.</w:t>
      </w:r>
    </w:p>
    <w:p>
      <w:pPr>
        <w:pStyle w:val="ListParagraph"/>
        <w:numPr>
          <w:ilvl w:val="0"/>
          <w:numId w:val="2"/>
        </w:numPr>
        <w:spacing w:after="110"/>
      </w:pPr>
      <w:r>
        <w:rPr>
          <w:rFonts w:ascii="Calibri" w:cs="Calibri" w:eastAsia="Calibri" w:hAnsi="Calibri"/>
          <w:color w:val="1A1A1A"/>
          <w:sz w:val="21"/>
          <w:szCs w:val="21"/>
        </w:rPr>
        <w:t xml:space="preserve">Check whether any of the developments your activist thesis relies on (Step 1 of GW2) would, under SPK rules, have required disclosure at a specific time — and if the company's actual disclosure record does not match that, this itself can become part of your activist case.</w:t>
      </w:r>
    </w:p>
    <w:p>
      <w:pPr>
        <w:spacing w:before="260"/>
      </w:pPr>
    </w:p>
    <w:p>
      <w:pPr>
        <w:pStyle w:val="Heading1"/>
        <w:pBdr>
          <w:bottom w:val="single" w:color="B08D3D" w:sz="6" w:space="4"/>
        </w:pBdr>
        <w:spacing w:after="150" w:before="300"/>
      </w:pPr>
      <w:r>
        <w:rPr>
          <w:rFonts w:ascii="Georgia" w:cs="Georgia" w:eastAsia="Georgia" w:hAnsi="Georgia"/>
          <w:b/>
          <w:bCs/>
          <w:color w:val="0B1E39"/>
          <w:sz w:val="28"/>
          <w:szCs w:val="28"/>
        </w:rPr>
        <w:t xml:space="preserve">5. What Is Expected From You</w:t>
      </w:r>
    </w:p>
    <w:p>
      <w:pPr>
        <w:pStyle w:val="ListParagraph"/>
        <w:numPr>
          <w:ilvl w:val="0"/>
          <w:numId w:val="3"/>
        </w:numPr>
        <w:spacing w:after="110"/>
      </w:pPr>
      <w:r>
        <w:rPr>
          <w:rFonts w:ascii="Calibri" w:cs="Calibri" w:eastAsia="Calibri" w:hAnsi="Calibri"/>
          <w:color w:val="1A1A1A"/>
          <w:sz w:val="21"/>
          <w:szCs w:val="21"/>
        </w:rPr>
        <w:t xml:space="preserve">Submit GW1 at the start of this session — late submissions should be raised with me directly, in advance if possible.</w:t>
      </w:r>
    </w:p>
    <w:p>
      <w:pPr>
        <w:pStyle w:val="ListParagraph"/>
        <w:numPr>
          <w:ilvl w:val="0"/>
          <w:numId w:val="3"/>
        </w:numPr>
        <w:spacing w:after="110"/>
      </w:pPr>
      <w:r>
        <w:rPr>
          <w:rFonts w:ascii="Calibri" w:cs="Calibri" w:eastAsia="Calibri" w:hAnsi="Calibri"/>
          <w:color w:val="1A1A1A"/>
          <w:sz w:val="21"/>
          <w:szCs w:val="21"/>
        </w:rPr>
        <w:t xml:space="preserve">Read the Session 3 reader before class; the regulatory scenario analysis assumes you already know the disclosure framework.</w:t>
      </w:r>
    </w:p>
    <w:p>
      <w:pPr>
        <w:pStyle w:val="ListParagraph"/>
        <w:numPr>
          <w:ilvl w:val="0"/>
          <w:numId w:val="3"/>
        </w:numPr>
        <w:spacing w:after="110"/>
      </w:pPr>
      <w:r>
        <w:rPr>
          <w:rFonts w:ascii="Calibri" w:cs="Calibri" w:eastAsia="Calibri" w:hAnsi="Calibri"/>
          <w:color w:val="1A1A1A"/>
          <w:sz w:val="21"/>
          <w:szCs w:val="21"/>
        </w:rPr>
        <w:t xml:space="preserve">Bring a disclosure-committee mindset to the scenario exercise: your job is to decide and defend, not just describe the rule.</w:t>
      </w:r>
    </w:p>
    <w:p>
      <w:pPr>
        <w:pStyle w:val="ListParagraph"/>
        <w:numPr>
          <w:ilvl w:val="0"/>
          <w:numId w:val="3"/>
        </w:numPr>
        <w:spacing w:after="110"/>
      </w:pPr>
      <w:r>
        <w:rPr>
          <w:rFonts w:ascii="Calibri" w:cs="Calibri" w:eastAsia="Calibri" w:hAnsi="Calibri"/>
          <w:color w:val="1A1A1A"/>
          <w:sz w:val="21"/>
          <w:szCs w:val="21"/>
        </w:rPr>
        <w:t xml:space="preserve">Use any feedback received on GW1 to sharpen the analysis your team is building toward GW2 and, ultimately, the final presentation.</w:t>
      </w:r>
    </w:p>
    <w:p>
      <w:r>
        <w:br w:type="page"/>
      </w:r>
    </w:p>
    <w:p>
      <w:pPr>
        <w:pStyle w:val="Heading1"/>
        <w:pBdr>
          <w:bottom w:val="single" w:color="B08D3D" w:sz="6" w:space="4"/>
        </w:pBdr>
        <w:spacing w:after="150" w:before="300"/>
      </w:pPr>
      <w:r>
        <w:rPr>
          <w:rFonts w:ascii="Georgia" w:cs="Georgia" w:eastAsia="Georgia" w:hAnsi="Georgia"/>
          <w:b/>
          <w:bCs/>
          <w:color w:val="0B1E39"/>
          <w:sz w:val="28"/>
          <w:szCs w:val="28"/>
        </w:rPr>
        <w:t xml:space="preserve">Appendix: Session 3 Scenario Pack</w:t>
      </w:r>
    </w:p>
    <w:p>
      <w:pPr>
        <w:spacing w:after="130"/>
      </w:pPr>
      <w:r>
        <w:rPr>
          <w:rFonts w:ascii="Calibri" w:cs="Calibri" w:eastAsia="Calibri" w:hAnsi="Calibri"/>
          <w:color w:val="1A1A1A"/>
          <w:sz w:val="21"/>
          <w:szCs w:val="21"/>
        </w:rPr>
        <w:t xml:space="preserve">Nine scenarios in total: three independent scenarios per team (Koç Holding, Sabancı Holding, Türk Hava Yolları). Within each team's set of three, two scenarios are designed to require disclosure and one is designed not to — but which is which is exactly what your committee must work out; this pack does not tell you the answer in advance. Every scenario is fictional and illustrative — not a real event at any real company — so do not try to map them onto your actual assigned company's real history.</w:t>
      </w:r>
    </w:p>
    <w:p>
      <w:pPr>
        <w:spacing w:after="130"/>
      </w:pPr>
      <w:r>
        <w:rPr>
          <w:rFonts w:ascii="Calibri" w:cs="Calibri" w:eastAsia="Calibri" w:hAnsi="Calibri"/>
          <w:b/>
          <w:bCs/>
          <w:color w:val="1A1A1A"/>
          <w:sz w:val="21"/>
          <w:szCs w:val="21"/>
        </w:rPr>
        <w:t xml:space="preserve">For every scenario, structure your answer around three questions: is the development material (probability × magnitude)? Is disclosure required now, and in what form? Is a lawful delay available, and under what conditions would it lapse?</w:t>
      </w:r>
    </w:p>
    <w:p>
      <w:r>
        <w:br w:type="page"/>
      </w:r>
    </w:p>
    <w:p>
      <w:pPr>
        <w:pStyle w:val="Heading1"/>
        <w:pBdr>
          <w:bottom w:val="single" w:color="B08D3D" w:sz="6" w:space="4"/>
        </w:pBdr>
        <w:spacing w:after="150" w:before="300"/>
      </w:pPr>
      <w:r>
        <w:rPr>
          <w:rFonts w:ascii="Georgia" w:cs="Georgia" w:eastAsia="Georgia" w:hAnsi="Georgia"/>
          <w:b/>
          <w:bCs/>
          <w:color w:val="0B1E39"/>
          <w:sz w:val="28"/>
          <w:szCs w:val="28"/>
        </w:rPr>
        <w:t xml:space="preserve">Team 1 Scenarios — Koç Holding</w:t>
      </w:r>
    </w:p>
    <w:p>
      <w:pPr>
        <w:pStyle w:val="Heading2"/>
        <w:spacing w:after="150" w:before="300"/>
      </w:pPr>
      <w:r>
        <w:rPr>
          <w:rFonts w:ascii="Georgia" w:cs="Georgia" w:eastAsia="Georgia" w:hAnsi="Georgia"/>
          <w:b/>
          <w:bCs/>
          <w:color w:val="13294B"/>
          <w:sz w:val="23"/>
          <w:szCs w:val="23"/>
        </w:rPr>
        <w:t xml:space="preserve">Scenario 1.1 — A Potential Acquisition Under Negotiation</w:t>
      </w:r>
    </w:p>
    <w:tbl>
      <w:tblPr>
        <w:tblW w:type="dxa" w:w="97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9700"/>
            <w:tcBorders>
              <w:top w:val="single" w:color="B08D3D" w:sz="4"/>
              <w:left w:val="single" w:color="B08D3D" w:sz="16"/>
              <w:bottom w:val="single" w:color="B08D3D" w:sz="4"/>
              <w:right w:val="single" w:color="B08D3D" w:sz="4"/>
            </w:tcBorders>
            <w:shd w:fill="F5F1E8" w:val="clear"/>
            <w:tcMar>
              <w:top w:type="dxa" w:w="140"/>
              <w:left w:type="dxa" w:w="200"/>
              <w:bottom w:type="dxa" w:w="140"/>
              <w:right w:type="dxa" w:w="200"/>
            </w:tcMar>
          </w:tcPr>
          <w:p>
            <w:pPr>
              <w:spacing w:after="80"/>
            </w:pPr>
            <w:r>
              <w:rPr>
                <w:rFonts w:ascii="Georgia" w:cs="Georgia" w:eastAsia="Georgia" w:hAnsi="Georgia"/>
                <w:b/>
                <w:bCs/>
                <w:color w:val="0B1E39"/>
                <w:sz w:val="22"/>
                <w:szCs w:val="22"/>
              </w:rPr>
              <w:t xml:space="preserve">Facts of the Case</w:t>
            </w:r>
          </w:p>
          <w:p>
            <w:pPr>
              <w:pStyle w:val="ListParagraph"/>
              <w:numPr>
                <w:ilvl w:val="0"/>
                <w:numId w:val="1"/>
              </w:numPr>
              <w:spacing w:after="60"/>
            </w:pPr>
            <w:r>
              <w:rPr>
                <w:rFonts w:ascii="Calibri" w:cs="Calibri" w:eastAsia="Calibri" w:hAnsi="Calibri"/>
                <w:color w:val="1A1A1A"/>
                <w:sz w:val="20"/>
                <w:szCs w:val="20"/>
              </w:rPr>
              <w:t xml:space="preserve">“Anadolu Parça Sanayi A.Ş.” (fictional, BIST-listed, mid-cap industrial components manufacturer) has been in exclusive negotiations for six weeks to acquire “Karaca Otomotiv Yedek Parça Ltd.”, a privately held supplier, for an estimated consideration of approximately 18% of Anadolu Parça's current market capitalisation.</w:t>
            </w:r>
          </w:p>
          <w:p>
            <w:pPr>
              <w:pStyle w:val="ListParagraph"/>
              <w:numPr>
                <w:ilvl w:val="0"/>
                <w:numId w:val="1"/>
              </w:numPr>
              <w:spacing w:after="60"/>
            </w:pPr>
            <w:r>
              <w:rPr>
                <w:rFonts w:ascii="Calibri" w:cs="Calibri" w:eastAsia="Calibri" w:hAnsi="Calibri"/>
                <w:color w:val="1A1A1A"/>
                <w:sz w:val="20"/>
                <w:szCs w:val="20"/>
              </w:rPr>
              <w:t xml:space="preserve">A term sheet was signed 10 days ago; it is non-binding and subject to due diligence and board approval.</w:t>
            </w:r>
          </w:p>
          <w:p>
            <w:pPr>
              <w:pStyle w:val="ListParagraph"/>
              <w:numPr>
                <w:ilvl w:val="0"/>
                <w:numId w:val="1"/>
              </w:numPr>
              <w:spacing w:after="60"/>
            </w:pPr>
            <w:r>
              <w:rPr>
                <w:rFonts w:ascii="Calibri" w:cs="Calibri" w:eastAsia="Calibri" w:hAnsi="Calibri"/>
                <w:color w:val="1A1A1A"/>
                <w:sz w:val="20"/>
                <w:szCs w:val="20"/>
              </w:rPr>
              <w:t xml:space="preserve">Due diligence is roughly 60% complete; two mid-level engineers on the deal team have mentioned the negotiation informally to colleagues outside the deal team, though not publicly.</w:t>
            </w:r>
          </w:p>
          <w:p>
            <w:pPr>
              <w:pStyle w:val="ListParagraph"/>
              <w:numPr>
                <w:ilvl w:val="0"/>
                <w:numId w:val="1"/>
              </w:numPr>
              <w:spacing w:after="60"/>
            </w:pPr>
            <w:r>
              <w:rPr>
                <w:rFonts w:ascii="Calibri" w:cs="Calibri" w:eastAsia="Calibri" w:hAnsi="Calibri"/>
                <w:color w:val="1A1A1A"/>
                <w:sz w:val="20"/>
                <w:szCs w:val="20"/>
              </w:rPr>
              <w:t xml:space="preserve">The CFO wants to wait until due diligence is fully complete (estimated 3 more weeks) before saying anything publicly, to avoid disclosing a deal that might still fall through.</w:t>
            </w:r>
          </w:p>
          <w:p>
            <w:pPr>
              <w:pStyle w:val="ListParagraph"/>
              <w:numPr>
                <w:ilvl w:val="0"/>
                <w:numId w:val="1"/>
              </w:numPr>
              <w:spacing w:after="60"/>
            </w:pPr>
            <w:r>
              <w:rPr>
                <w:rFonts w:ascii="Calibri" w:cs="Calibri" w:eastAsia="Calibri" w:hAnsi="Calibri"/>
                <w:color w:val="1A1A1A"/>
                <w:sz w:val="20"/>
                <w:szCs w:val="20"/>
              </w:rPr>
              <w:t xml:space="preserve">No board vote has yet occurred; an extraordinary board meeting is tentatively scheduled for 12 days from now.</w:t>
            </w:r>
          </w:p>
        </w:tc>
      </w:tr>
    </w:tbl>
    <w:p>
      <w:pPr>
        <w:spacing w:after="60" w:before="100"/>
      </w:pPr>
      <w:r>
        <w:rPr>
          <w:rFonts w:ascii="Georgia" w:cs="Georgia" w:eastAsia="Georgia" w:hAnsi="Georgia"/>
          <w:b/>
          <w:bCs/>
          <w:color w:val="13294B"/>
          <w:sz w:val="22"/>
          <w:szCs w:val="22"/>
        </w:rPr>
        <w:t xml:space="preserve">Your Task as the Disclosure Committee</w:t>
      </w:r>
    </w:p>
    <w:p>
      <w:pPr>
        <w:pStyle w:val="ListParagraph"/>
        <w:numPr>
          <w:ilvl w:val="0"/>
          <w:numId w:val="4"/>
        </w:numPr>
        <w:spacing w:after="110"/>
      </w:pPr>
      <w:r>
        <w:rPr>
          <w:rFonts w:ascii="Calibri" w:cs="Calibri" w:eastAsia="Calibri" w:hAnsi="Calibri"/>
          <w:color w:val="1A1A1A"/>
          <w:sz w:val="21"/>
          <w:szCs w:val="21"/>
        </w:rPr>
        <w:t xml:space="preserve">Is the negotiation, at its current stage, something that would need to be disclosed today, or can disclosure legitimately wait? Identify which specific fact changes your answer.</w:t>
      </w:r>
    </w:p>
    <w:p>
      <w:pPr>
        <w:pStyle w:val="ListParagraph"/>
        <w:numPr>
          <w:ilvl w:val="0"/>
          <w:numId w:val="4"/>
        </w:numPr>
        <w:spacing w:after="110"/>
      </w:pPr>
      <w:r>
        <w:rPr>
          <w:rFonts w:ascii="Calibri" w:cs="Calibri" w:eastAsia="Calibri" w:hAnsi="Calibri"/>
          <w:color w:val="1A1A1A"/>
          <w:sz w:val="21"/>
          <w:szCs w:val="21"/>
        </w:rPr>
        <w:t xml:space="preserve">Do the two engineers' informal mentions outside the deal team create a selective-disclosure or rumour problem that forces the company's hand earlier than it would otherwise choose?</w:t>
      </w:r>
    </w:p>
    <w:p>
      <w:pPr>
        <w:pStyle w:val="ListParagraph"/>
        <w:numPr>
          <w:ilvl w:val="0"/>
          <w:numId w:val="4"/>
        </w:numPr>
        <w:spacing w:after="110"/>
      </w:pPr>
      <w:r>
        <w:rPr>
          <w:rFonts w:ascii="Calibri" w:cs="Calibri" w:eastAsia="Calibri" w:hAnsi="Calibri"/>
          <w:color w:val="1A1A1A"/>
          <w:sz w:val="21"/>
          <w:szCs w:val="21"/>
        </w:rPr>
        <w:t xml:space="preserve">If the company delays disclosure, what specific internal safeguards would need to be in place for that delay to be lawful?</w:t>
      </w:r>
    </w:p>
    <w:p>
      <w:pPr>
        <w:pStyle w:val="ListParagraph"/>
        <w:numPr>
          <w:ilvl w:val="0"/>
          <w:numId w:val="4"/>
        </w:numPr>
        <w:spacing w:after="110"/>
      </w:pPr>
      <w:r>
        <w:rPr>
          <w:rFonts w:ascii="Calibri" w:cs="Calibri" w:eastAsia="Calibri" w:hAnsi="Calibri"/>
          <w:color w:val="1A1A1A"/>
          <w:sz w:val="21"/>
          <w:szCs w:val="21"/>
        </w:rPr>
        <w:t xml:space="preserve">State your committee's conclusion: does this scenario require disclosure now, soon, or not yet — and why?</w:t>
      </w:r>
    </w:p>
    <w:p>
      <w:pPr>
        <w:spacing w:after="80" w:before="80"/>
      </w:pPr>
    </w:p>
    <w:p>
      <w:pPr>
        <w:pStyle w:val="Heading2"/>
        <w:spacing w:after="150" w:before="300"/>
      </w:pPr>
      <w:r>
        <w:rPr>
          <w:rFonts w:ascii="Georgia" w:cs="Georgia" w:eastAsia="Georgia" w:hAnsi="Georgia"/>
          <w:b/>
          <w:bCs/>
          <w:color w:val="13294B"/>
          <w:sz w:val="23"/>
          <w:szCs w:val="23"/>
        </w:rPr>
        <w:t xml:space="preserve">Scenario 1.2 — A Large Customer Loss</w:t>
      </w:r>
    </w:p>
    <w:tbl>
      <w:tblPr>
        <w:tblW w:type="dxa" w:w="97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9700"/>
            <w:tcBorders>
              <w:top w:val="single" w:color="B08D3D" w:sz="4"/>
              <w:left w:val="single" w:color="B08D3D" w:sz="16"/>
              <w:bottom w:val="single" w:color="B08D3D" w:sz="4"/>
              <w:right w:val="single" w:color="B08D3D" w:sz="4"/>
            </w:tcBorders>
            <w:shd w:fill="F5F1E8" w:val="clear"/>
            <w:tcMar>
              <w:top w:type="dxa" w:w="140"/>
              <w:left w:type="dxa" w:w="200"/>
              <w:bottom w:type="dxa" w:w="140"/>
              <w:right w:type="dxa" w:w="200"/>
            </w:tcMar>
          </w:tcPr>
          <w:p>
            <w:pPr>
              <w:spacing w:after="80"/>
            </w:pPr>
            <w:r>
              <w:rPr>
                <w:rFonts w:ascii="Georgia" w:cs="Georgia" w:eastAsia="Georgia" w:hAnsi="Georgia"/>
                <w:b/>
                <w:bCs/>
                <w:color w:val="0B1E39"/>
                <w:sz w:val="22"/>
                <w:szCs w:val="22"/>
              </w:rPr>
              <w:t xml:space="preserve">Facts of the Case</w:t>
            </w:r>
          </w:p>
          <w:p>
            <w:pPr>
              <w:pStyle w:val="ListParagraph"/>
              <w:numPr>
                <w:ilvl w:val="0"/>
                <w:numId w:val="1"/>
              </w:numPr>
              <w:spacing w:after="60"/>
            </w:pPr>
            <w:r>
              <w:rPr>
                <w:rFonts w:ascii="Calibri" w:cs="Calibri" w:eastAsia="Calibri" w:hAnsi="Calibri"/>
                <w:color w:val="1A1A1A"/>
                <w:sz w:val="20"/>
                <w:szCs w:val="20"/>
              </w:rPr>
              <w:t xml:space="preserve">“Marmara Tekstil Holding” (fictional, BIST-listed) has just been informed, via a letter received yesterday, that its largest single customer — accounting for approximately 22% of last year's consolidated revenue — will not renew its supply contract, which expires in four months.</w:t>
            </w:r>
          </w:p>
          <w:p>
            <w:pPr>
              <w:pStyle w:val="ListParagraph"/>
              <w:numPr>
                <w:ilvl w:val="0"/>
                <w:numId w:val="1"/>
              </w:numPr>
              <w:spacing w:after="60"/>
            </w:pPr>
            <w:r>
              <w:rPr>
                <w:rFonts w:ascii="Calibri" w:cs="Calibri" w:eastAsia="Calibri" w:hAnsi="Calibri"/>
                <w:color w:val="1A1A1A"/>
                <w:sz w:val="20"/>
                <w:szCs w:val="20"/>
              </w:rPr>
              <w:t xml:space="preserve">The customer is moving to a competitor for pricing reasons; the letter is unambiguous and final.</w:t>
            </w:r>
          </w:p>
          <w:p>
            <w:pPr>
              <w:pStyle w:val="ListParagraph"/>
              <w:numPr>
                <w:ilvl w:val="0"/>
                <w:numId w:val="1"/>
              </w:numPr>
              <w:spacing w:after="60"/>
            </w:pPr>
            <w:r>
              <w:rPr>
                <w:rFonts w:ascii="Calibri" w:cs="Calibri" w:eastAsia="Calibri" w:hAnsi="Calibri"/>
                <w:color w:val="1A1A1A"/>
                <w:sz w:val="20"/>
                <w:szCs w:val="20"/>
              </w:rPr>
              <w:t xml:space="preserve">Initial rough estimates suggest a 6% to 14% hit to consolidated EBITDA next year, depending on whether the freed capacity can be redeployed.</w:t>
            </w:r>
          </w:p>
          <w:p>
            <w:pPr>
              <w:pStyle w:val="ListParagraph"/>
              <w:numPr>
                <w:ilvl w:val="0"/>
                <w:numId w:val="1"/>
              </w:numPr>
              <w:spacing w:after="60"/>
            </w:pPr>
            <w:r>
              <w:rPr>
                <w:rFonts w:ascii="Calibri" w:cs="Calibri" w:eastAsia="Calibri" w:hAnsi="Calibri"/>
                <w:color w:val="1A1A1A"/>
                <w:sz w:val="20"/>
                <w:szCs w:val="20"/>
              </w:rPr>
              <w:t xml:space="preserve">The company's most recent public guidance (given 2 months ago) did not mention any risk to this customer relationship.</w:t>
            </w:r>
          </w:p>
        </w:tc>
      </w:tr>
    </w:tbl>
    <w:p>
      <w:pPr>
        <w:spacing w:after="60" w:before="100"/>
      </w:pPr>
      <w:r>
        <w:rPr>
          <w:rFonts w:ascii="Georgia" w:cs="Georgia" w:eastAsia="Georgia" w:hAnsi="Georgia"/>
          <w:b/>
          <w:bCs/>
          <w:color w:val="13294B"/>
          <w:sz w:val="22"/>
          <w:szCs w:val="22"/>
        </w:rPr>
        <w:t xml:space="preserve">Your Task as the Disclosure Committee</w:t>
      </w:r>
    </w:p>
    <w:p>
      <w:pPr>
        <w:pStyle w:val="ListParagraph"/>
        <w:numPr>
          <w:ilvl w:val="0"/>
          <w:numId w:val="5"/>
        </w:numPr>
        <w:spacing w:after="110"/>
      </w:pPr>
      <w:r>
        <w:rPr>
          <w:rFonts w:ascii="Calibri" w:cs="Calibri" w:eastAsia="Calibri" w:hAnsi="Calibri"/>
          <w:color w:val="1A1A1A"/>
          <w:sz w:val="21"/>
          <w:szCs w:val="21"/>
        </w:rPr>
        <w:t xml:space="preserve">Given the wide range in the internal profitability estimate (6%–14% of EBITDA), is the development material enough to require disclosure now? Justify using the probability-×-magnitude test.</w:t>
      </w:r>
    </w:p>
    <w:p>
      <w:pPr>
        <w:pStyle w:val="ListParagraph"/>
        <w:numPr>
          <w:ilvl w:val="0"/>
          <w:numId w:val="5"/>
        </w:numPr>
        <w:spacing w:after="110"/>
      </w:pPr>
      <w:r>
        <w:rPr>
          <w:rFonts w:ascii="Calibri" w:cs="Calibri" w:eastAsia="Calibri" w:hAnsi="Calibri"/>
          <w:color w:val="1A1A1A"/>
          <w:sz w:val="21"/>
          <w:szCs w:val="21"/>
        </w:rPr>
        <w:t xml:space="preserve">Does the fact that recent public guidance did not flag this risk change the urgency of any disclosure now required?</w:t>
      </w:r>
    </w:p>
    <w:p>
      <w:pPr>
        <w:pStyle w:val="ListParagraph"/>
        <w:numPr>
          <w:ilvl w:val="0"/>
          <w:numId w:val="5"/>
        </w:numPr>
        <w:spacing w:after="110"/>
      </w:pPr>
      <w:r>
        <w:rPr>
          <w:rFonts w:ascii="Calibri" w:cs="Calibri" w:eastAsia="Calibri" w:hAnsi="Calibri"/>
          <w:color w:val="1A1A1A"/>
          <w:sz w:val="21"/>
          <w:szCs w:val="21"/>
        </w:rPr>
        <w:t xml:space="preserve">State your committee's conclusion: does this scenario require disclosure now, soon, or not yet — and why?</w:t>
      </w:r>
    </w:p>
    <w:p>
      <w:pPr>
        <w:spacing w:after="80" w:before="80"/>
      </w:pPr>
    </w:p>
    <w:p>
      <w:pPr>
        <w:pStyle w:val="Heading2"/>
        <w:spacing w:after="150" w:before="300"/>
      </w:pPr>
      <w:r>
        <w:rPr>
          <w:rFonts w:ascii="Georgia" w:cs="Georgia" w:eastAsia="Georgia" w:hAnsi="Georgia"/>
          <w:b/>
          <w:bCs/>
          <w:color w:val="13294B"/>
          <w:sz w:val="23"/>
          <w:szCs w:val="23"/>
        </w:rPr>
        <w:t xml:space="preserve">Scenario 1.3 — A Routine Supplier Contract Renewal</w:t>
      </w:r>
    </w:p>
    <w:tbl>
      <w:tblPr>
        <w:tblW w:type="dxa" w:w="97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9700"/>
            <w:tcBorders>
              <w:top w:val="single" w:color="B08D3D" w:sz="4"/>
              <w:left w:val="single" w:color="B08D3D" w:sz="16"/>
              <w:bottom w:val="single" w:color="B08D3D" w:sz="4"/>
              <w:right w:val="single" w:color="B08D3D" w:sz="4"/>
            </w:tcBorders>
            <w:shd w:fill="F5F1E8" w:val="clear"/>
            <w:tcMar>
              <w:top w:type="dxa" w:w="140"/>
              <w:left w:type="dxa" w:w="200"/>
              <w:bottom w:type="dxa" w:w="140"/>
              <w:right w:type="dxa" w:w="200"/>
            </w:tcMar>
          </w:tcPr>
          <w:p>
            <w:pPr>
              <w:spacing w:after="80"/>
            </w:pPr>
            <w:r>
              <w:rPr>
                <w:rFonts w:ascii="Georgia" w:cs="Georgia" w:eastAsia="Georgia" w:hAnsi="Georgia"/>
                <w:b/>
                <w:bCs/>
                <w:color w:val="0B1E39"/>
                <w:sz w:val="22"/>
                <w:szCs w:val="22"/>
              </w:rPr>
              <w:t xml:space="preserve">Facts of the Case</w:t>
            </w:r>
          </w:p>
          <w:p>
            <w:pPr>
              <w:pStyle w:val="ListParagraph"/>
              <w:numPr>
                <w:ilvl w:val="0"/>
                <w:numId w:val="1"/>
              </w:numPr>
              <w:spacing w:after="60"/>
            </w:pPr>
            <w:r>
              <w:rPr>
                <w:rFonts w:ascii="Calibri" w:cs="Calibri" w:eastAsia="Calibri" w:hAnsi="Calibri"/>
                <w:color w:val="1A1A1A"/>
                <w:sz w:val="20"/>
                <w:szCs w:val="20"/>
              </w:rPr>
              <w:t xml:space="preserve">“Anadolu Parça Sanayi A.Ş.” has renewed its raw-steel supply agreement with a long-standing vendor on broadly similar terms to the expiring contract, at a value equal to approximately 1.1% of last year's consolidated revenue.</w:t>
            </w:r>
          </w:p>
          <w:p>
            <w:pPr>
              <w:pStyle w:val="ListParagraph"/>
              <w:numPr>
                <w:ilvl w:val="0"/>
                <w:numId w:val="1"/>
              </w:numPr>
              <w:spacing w:after="60"/>
            </w:pPr>
            <w:r>
              <w:rPr>
                <w:rFonts w:ascii="Calibri" w:cs="Calibri" w:eastAsia="Calibri" w:hAnsi="Calibri"/>
                <w:color w:val="1A1A1A"/>
                <w:sz w:val="20"/>
                <w:szCs w:val="20"/>
              </w:rPr>
              <w:t xml:space="preserve">The renewal follows the company's standard annual procurement cycle and was approved under existing delegated authority without requiring board approval.</w:t>
            </w:r>
          </w:p>
          <w:p>
            <w:pPr>
              <w:pStyle w:val="ListParagraph"/>
              <w:numPr>
                <w:ilvl w:val="0"/>
                <w:numId w:val="1"/>
              </w:numPr>
              <w:spacing w:after="60"/>
            </w:pPr>
            <w:r>
              <w:rPr>
                <w:rFonts w:ascii="Calibri" w:cs="Calibri" w:eastAsia="Calibri" w:hAnsi="Calibri"/>
                <w:color w:val="1A1A1A"/>
                <w:sz w:val="20"/>
                <w:szCs w:val="20"/>
              </w:rPr>
              <w:t xml:space="preserve">Pricing terms are within 2% of the prior contract; no exclusivity, change-of-control, or unusual covenant is attached.</w:t>
            </w:r>
          </w:p>
          <w:p>
            <w:pPr>
              <w:pStyle w:val="ListParagraph"/>
              <w:numPr>
                <w:ilvl w:val="0"/>
                <w:numId w:val="1"/>
              </w:numPr>
              <w:spacing w:after="60"/>
            </w:pPr>
            <w:r>
              <w:rPr>
                <w:rFonts w:ascii="Calibri" w:cs="Calibri" w:eastAsia="Calibri" w:hAnsi="Calibri"/>
                <w:color w:val="1A1A1A"/>
                <w:sz w:val="20"/>
                <w:szCs w:val="20"/>
              </w:rPr>
              <w:t xml:space="preserve">No public guidance or prior disclosure has ever referenced this specific vendor relationship.</w:t>
            </w:r>
          </w:p>
        </w:tc>
      </w:tr>
    </w:tbl>
    <w:p>
      <w:pPr>
        <w:spacing w:after="60" w:before="100"/>
      </w:pPr>
      <w:r>
        <w:rPr>
          <w:rFonts w:ascii="Georgia" w:cs="Georgia" w:eastAsia="Georgia" w:hAnsi="Georgia"/>
          <w:b/>
          <w:bCs/>
          <w:color w:val="13294B"/>
          <w:sz w:val="22"/>
          <w:szCs w:val="22"/>
        </w:rPr>
        <w:t xml:space="preserve">Your Task as the Disclosure Committee</w:t>
      </w:r>
    </w:p>
    <w:p>
      <w:pPr>
        <w:pStyle w:val="ListParagraph"/>
        <w:numPr>
          <w:ilvl w:val="0"/>
          <w:numId w:val="6"/>
        </w:numPr>
        <w:spacing w:after="110"/>
      </w:pPr>
      <w:r>
        <w:rPr>
          <w:rFonts w:ascii="Calibri" w:cs="Calibri" w:eastAsia="Calibri" w:hAnsi="Calibri"/>
          <w:color w:val="1A1A1A"/>
          <w:sz w:val="21"/>
          <w:szCs w:val="21"/>
        </w:rPr>
        <w:t xml:space="preserve">Apply the probability-×-magnitude test: does a routine renewal at ~1.1% of revenue, on essentially unchanged terms, clear the materiality threshold?</w:t>
      </w:r>
    </w:p>
    <w:p>
      <w:pPr>
        <w:pStyle w:val="ListParagraph"/>
        <w:numPr>
          <w:ilvl w:val="0"/>
          <w:numId w:val="6"/>
        </w:numPr>
        <w:spacing w:after="110"/>
      </w:pPr>
      <w:r>
        <w:rPr>
          <w:rFonts w:ascii="Calibri" w:cs="Calibri" w:eastAsia="Calibri" w:hAnsi="Calibri"/>
          <w:color w:val="1A1A1A"/>
          <w:sz w:val="21"/>
          <w:szCs w:val="21"/>
        </w:rPr>
        <w:t xml:space="preserve">Does the fact that this was approved under existing delegated authority (not requiring board approval) tell you anything about how the company itself has already classified this event internally?</w:t>
      </w:r>
    </w:p>
    <w:p>
      <w:pPr>
        <w:pStyle w:val="ListParagraph"/>
        <w:numPr>
          <w:ilvl w:val="0"/>
          <w:numId w:val="6"/>
        </w:numPr>
        <w:spacing w:after="110"/>
      </w:pPr>
      <w:r>
        <w:rPr>
          <w:rFonts w:ascii="Calibri" w:cs="Calibri" w:eastAsia="Calibri" w:hAnsi="Calibri"/>
          <w:color w:val="1A1A1A"/>
          <w:sz w:val="21"/>
          <w:szCs w:val="21"/>
        </w:rPr>
        <w:t xml:space="preserve">State your committee's conclusion: does this scenario require disclosure — and if your answer is no, what would have to change about the facts for your answer to flip to yes?</w:t>
      </w:r>
    </w:p>
    <w:p>
      <w:r>
        <w:br w:type="page"/>
      </w:r>
    </w:p>
    <w:p>
      <w:pPr>
        <w:pStyle w:val="Heading1"/>
        <w:pBdr>
          <w:bottom w:val="single" w:color="B08D3D" w:sz="6" w:space="4"/>
        </w:pBdr>
        <w:spacing w:after="150" w:before="300"/>
      </w:pPr>
      <w:r>
        <w:rPr>
          <w:rFonts w:ascii="Georgia" w:cs="Georgia" w:eastAsia="Georgia" w:hAnsi="Georgia"/>
          <w:b/>
          <w:bCs/>
          <w:color w:val="0B1E39"/>
          <w:sz w:val="28"/>
          <w:szCs w:val="28"/>
        </w:rPr>
        <w:t xml:space="preserve">Team 2 Scenarios — Sabancı Holding</w:t>
      </w:r>
    </w:p>
    <w:p>
      <w:pPr>
        <w:pStyle w:val="Heading2"/>
        <w:spacing w:after="150" w:before="300"/>
      </w:pPr>
      <w:r>
        <w:rPr>
          <w:rFonts w:ascii="Georgia" w:cs="Georgia" w:eastAsia="Georgia" w:hAnsi="Georgia"/>
          <w:b/>
          <w:bCs/>
          <w:color w:val="13294B"/>
          <w:sz w:val="23"/>
          <w:szCs w:val="23"/>
        </w:rPr>
        <w:t xml:space="preserve">Scenario 2.1 — An Internal Control Failure</w:t>
      </w:r>
    </w:p>
    <w:tbl>
      <w:tblPr>
        <w:tblW w:type="dxa" w:w="97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9700"/>
            <w:tcBorders>
              <w:top w:val="single" w:color="B08D3D" w:sz="4"/>
              <w:left w:val="single" w:color="B08D3D" w:sz="16"/>
              <w:bottom w:val="single" w:color="B08D3D" w:sz="4"/>
              <w:right w:val="single" w:color="B08D3D" w:sz="4"/>
            </w:tcBorders>
            <w:shd w:fill="F5F1E8" w:val="clear"/>
            <w:tcMar>
              <w:top w:type="dxa" w:w="140"/>
              <w:left w:type="dxa" w:w="200"/>
              <w:bottom w:type="dxa" w:w="140"/>
              <w:right w:type="dxa" w:w="200"/>
            </w:tcMar>
          </w:tcPr>
          <w:p>
            <w:pPr>
              <w:spacing w:after="80"/>
            </w:pPr>
            <w:r>
              <w:rPr>
                <w:rFonts w:ascii="Georgia" w:cs="Georgia" w:eastAsia="Georgia" w:hAnsi="Georgia"/>
                <w:b/>
                <w:bCs/>
                <w:color w:val="0B1E39"/>
                <w:sz w:val="22"/>
                <w:szCs w:val="22"/>
              </w:rPr>
              <w:t xml:space="preserve">Facts of the Case</w:t>
            </w:r>
          </w:p>
          <w:p>
            <w:pPr>
              <w:pStyle w:val="ListParagraph"/>
              <w:numPr>
                <w:ilvl w:val="0"/>
                <w:numId w:val="1"/>
              </w:numPr>
              <w:spacing w:after="60"/>
            </w:pPr>
            <w:r>
              <w:rPr>
                <w:rFonts w:ascii="Calibri" w:cs="Calibri" w:eastAsia="Calibri" w:hAnsi="Calibri"/>
                <w:color w:val="1A1A1A"/>
                <w:sz w:val="20"/>
                <w:szCs w:val="20"/>
              </w:rPr>
              <w:t xml:space="preserve">“Boğaz Finansal Kiralama A.Ş.” (fictional, BIST-listed leasing company, part of a diversified financial group) discovered three days ago, through a routine internal audit, that a regional manager had been misclassifying approximately 40 million TL of operating expenses as capital expenditure over the past five quarters, inflating reported EBITDA in each of those quarters by 2% to 5%.</w:t>
            </w:r>
          </w:p>
          <w:p>
            <w:pPr>
              <w:pStyle w:val="ListParagraph"/>
              <w:numPr>
                <w:ilvl w:val="0"/>
                <w:numId w:val="1"/>
              </w:numPr>
              <w:spacing w:after="60"/>
            </w:pPr>
            <w:r>
              <w:rPr>
                <w:rFonts w:ascii="Calibri" w:cs="Calibri" w:eastAsia="Calibri" w:hAnsi="Calibri"/>
                <w:color w:val="1A1A1A"/>
                <w:sz w:val="20"/>
                <w:szCs w:val="20"/>
              </w:rPr>
              <w:t xml:space="preserve">The external auditor has been informally notified but has not yet issued any statement; a formal restatement of prior periods appears likely but is not yet confirmed.</w:t>
            </w:r>
          </w:p>
          <w:p>
            <w:pPr>
              <w:pStyle w:val="ListParagraph"/>
              <w:numPr>
                <w:ilvl w:val="0"/>
                <w:numId w:val="1"/>
              </w:numPr>
              <w:spacing w:after="60"/>
            </w:pPr>
            <w:r>
              <w:rPr>
                <w:rFonts w:ascii="Calibri" w:cs="Calibri" w:eastAsia="Calibri" w:hAnsi="Calibri"/>
                <w:color w:val="1A1A1A"/>
                <w:sz w:val="20"/>
                <w:szCs w:val="20"/>
              </w:rPr>
              <w:t xml:space="preserve">The regional manager has been suspended pending investigation; no evidence yet suggests fraud for personal gain, but the investigation is incomplete.</w:t>
            </w:r>
          </w:p>
          <w:p>
            <w:pPr>
              <w:pStyle w:val="ListParagraph"/>
              <w:numPr>
                <w:ilvl w:val="0"/>
                <w:numId w:val="1"/>
              </w:numPr>
              <w:spacing w:after="60"/>
            </w:pPr>
            <w:r>
              <w:rPr>
                <w:rFonts w:ascii="Calibri" w:cs="Calibri" w:eastAsia="Calibri" w:hAnsi="Calibri"/>
                <w:color w:val="1A1A1A"/>
                <w:sz w:val="20"/>
                <w:szCs w:val="20"/>
              </w:rPr>
              <w:t xml:space="preserve">The company's shares have not moved unusually in the past three days, suggesting no leak has occurred yet.</w:t>
            </w:r>
          </w:p>
          <w:p>
            <w:pPr>
              <w:pStyle w:val="ListParagraph"/>
              <w:numPr>
                <w:ilvl w:val="0"/>
                <w:numId w:val="1"/>
              </w:numPr>
              <w:spacing w:after="60"/>
            </w:pPr>
            <w:r>
              <w:rPr>
                <w:rFonts w:ascii="Calibri" w:cs="Calibri" w:eastAsia="Calibri" w:hAnsi="Calibri"/>
                <w:color w:val="1A1A1A"/>
                <w:sz w:val="20"/>
                <w:szCs w:val="20"/>
              </w:rPr>
              <w:t xml:space="preserve">Next scheduled quarterly results are due in five weeks.</w:t>
            </w:r>
          </w:p>
        </w:tc>
      </w:tr>
    </w:tbl>
    <w:p>
      <w:pPr>
        <w:spacing w:after="60" w:before="100"/>
      </w:pPr>
      <w:r>
        <w:rPr>
          <w:rFonts w:ascii="Georgia" w:cs="Georgia" w:eastAsia="Georgia" w:hAnsi="Georgia"/>
          <w:b/>
          <w:bCs/>
          <w:color w:val="13294B"/>
          <w:sz w:val="22"/>
          <w:szCs w:val="22"/>
        </w:rPr>
        <w:t xml:space="preserve">Your Task as the Disclosure Committee</w:t>
      </w:r>
    </w:p>
    <w:p>
      <w:pPr>
        <w:pStyle w:val="ListParagraph"/>
        <w:numPr>
          <w:ilvl w:val="0"/>
          <w:numId w:val="7"/>
        </w:numPr>
        <w:spacing w:after="110"/>
      </w:pPr>
      <w:r>
        <w:rPr>
          <w:rFonts w:ascii="Calibri" w:cs="Calibri" w:eastAsia="Calibri" w:hAnsi="Calibri"/>
          <w:color w:val="1A1A1A"/>
          <w:sz w:val="21"/>
          <w:szCs w:val="21"/>
        </w:rPr>
        <w:t xml:space="preserve">Is this development material today, even though the exact restated figures are not yet final? What is the argument for treating the discovery itself — not the eventual restated number — as the material fact?</w:t>
      </w:r>
    </w:p>
    <w:p>
      <w:pPr>
        <w:pStyle w:val="ListParagraph"/>
        <w:numPr>
          <w:ilvl w:val="0"/>
          <w:numId w:val="7"/>
        </w:numPr>
        <w:spacing w:after="110"/>
      </w:pPr>
      <w:r>
        <w:rPr>
          <w:rFonts w:ascii="Calibri" w:cs="Calibri" w:eastAsia="Calibri" w:hAnsi="Calibri"/>
          <w:color w:val="1A1A1A"/>
          <w:sz w:val="21"/>
          <w:szCs w:val="21"/>
        </w:rPr>
        <w:t xml:space="preserve">Does waiting for the external auditor's formal view constitute a lawful basis for delaying disclosure, or does the company's own discovery already start the clock?</w:t>
      </w:r>
    </w:p>
    <w:p>
      <w:pPr>
        <w:pStyle w:val="ListParagraph"/>
        <w:numPr>
          <w:ilvl w:val="0"/>
          <w:numId w:val="7"/>
        </w:numPr>
        <w:spacing w:after="110"/>
      </w:pPr>
      <w:r>
        <w:rPr>
          <w:rFonts w:ascii="Calibri" w:cs="Calibri" w:eastAsia="Calibri" w:hAnsi="Calibri"/>
          <w:color w:val="1A1A1A"/>
          <w:sz w:val="21"/>
          <w:szCs w:val="21"/>
        </w:rPr>
        <w:t xml:space="preserve">State your committee's conclusion: does this scenario require disclosure now, soon, or not yet — and why?</w:t>
      </w:r>
    </w:p>
    <w:p>
      <w:pPr>
        <w:spacing w:after="80" w:before="80"/>
      </w:pPr>
    </w:p>
    <w:p>
      <w:pPr>
        <w:pStyle w:val="Heading2"/>
        <w:spacing w:after="150" w:before="300"/>
      </w:pPr>
      <w:r>
        <w:rPr>
          <w:rFonts w:ascii="Georgia" w:cs="Georgia" w:eastAsia="Georgia" w:hAnsi="Georgia"/>
          <w:b/>
          <w:bCs/>
          <w:color w:val="13294B"/>
          <w:sz w:val="23"/>
          <w:szCs w:val="23"/>
        </w:rPr>
        <w:t xml:space="preserve">Scenario 2.2 — A Pending Capital Raise</w:t>
      </w:r>
    </w:p>
    <w:tbl>
      <w:tblPr>
        <w:tblW w:type="dxa" w:w="97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9700"/>
            <w:tcBorders>
              <w:top w:val="single" w:color="B08D3D" w:sz="4"/>
              <w:left w:val="single" w:color="B08D3D" w:sz="16"/>
              <w:bottom w:val="single" w:color="B08D3D" w:sz="4"/>
              <w:right w:val="single" w:color="B08D3D" w:sz="4"/>
            </w:tcBorders>
            <w:shd w:fill="F5F1E8" w:val="clear"/>
            <w:tcMar>
              <w:top w:type="dxa" w:w="140"/>
              <w:left w:type="dxa" w:w="200"/>
              <w:bottom w:type="dxa" w:w="140"/>
              <w:right w:type="dxa" w:w="200"/>
            </w:tcMar>
          </w:tcPr>
          <w:p>
            <w:pPr>
              <w:spacing w:after="80"/>
            </w:pPr>
            <w:r>
              <w:rPr>
                <w:rFonts w:ascii="Georgia" w:cs="Georgia" w:eastAsia="Georgia" w:hAnsi="Georgia"/>
                <w:b/>
                <w:bCs/>
                <w:color w:val="0B1E39"/>
                <w:sz w:val="22"/>
                <w:szCs w:val="22"/>
              </w:rPr>
              <w:t xml:space="preserve">Facts of the Case</w:t>
            </w:r>
          </w:p>
          <w:p>
            <w:pPr>
              <w:pStyle w:val="ListParagraph"/>
              <w:numPr>
                <w:ilvl w:val="0"/>
                <w:numId w:val="1"/>
              </w:numPr>
              <w:spacing w:after="60"/>
            </w:pPr>
            <w:r>
              <w:rPr>
                <w:rFonts w:ascii="Calibri" w:cs="Calibri" w:eastAsia="Calibri" w:hAnsi="Calibri"/>
                <w:color w:val="1A1A1A"/>
                <w:sz w:val="20"/>
                <w:szCs w:val="20"/>
              </w:rPr>
              <w:t xml:space="preserve">“Karadeniz Enerji Üretim A.Ş.” (fictional, BIST-listed energy generation company within a diversified group) is planning a rights issue to raise approximately 25% of its current market capitalisation in new equity, to fund a renewable-generation capacity expansion.</w:t>
            </w:r>
          </w:p>
          <w:p>
            <w:pPr>
              <w:pStyle w:val="ListParagraph"/>
              <w:numPr>
                <w:ilvl w:val="0"/>
                <w:numId w:val="1"/>
              </w:numPr>
              <w:spacing w:after="60"/>
            </w:pPr>
            <w:r>
              <w:rPr>
                <w:rFonts w:ascii="Calibri" w:cs="Calibri" w:eastAsia="Calibri" w:hAnsi="Calibri"/>
                <w:color w:val="1A1A1A"/>
                <w:sz w:val="20"/>
                <w:szCs w:val="20"/>
              </w:rPr>
              <w:t xml:space="preserve">The board approved the concept of a capital raise in principle two weeks ago, but the exact size, pricing, and structure are still under active discussion with financial advisors.</w:t>
            </w:r>
          </w:p>
          <w:p>
            <w:pPr>
              <w:pStyle w:val="ListParagraph"/>
              <w:numPr>
                <w:ilvl w:val="0"/>
                <w:numId w:val="1"/>
              </w:numPr>
              <w:spacing w:after="60"/>
            </w:pPr>
            <w:r>
              <w:rPr>
                <w:rFonts w:ascii="Calibri" w:cs="Calibri" w:eastAsia="Calibri" w:hAnsi="Calibri"/>
                <w:color w:val="1A1A1A"/>
                <w:sz w:val="20"/>
                <w:szCs w:val="20"/>
              </w:rPr>
              <w:t xml:space="preserve">Two board members separately mentioned the general idea of “raising some capital for expansion” in unrelated public conference remarks last week, without giving specifics.</w:t>
            </w:r>
          </w:p>
          <w:p>
            <w:pPr>
              <w:pStyle w:val="ListParagraph"/>
              <w:numPr>
                <w:ilvl w:val="0"/>
                <w:numId w:val="1"/>
              </w:numPr>
              <w:spacing w:after="60"/>
            </w:pPr>
            <w:r>
              <w:rPr>
                <w:rFonts w:ascii="Calibri" w:cs="Calibri" w:eastAsia="Calibri" w:hAnsi="Calibri"/>
                <w:color w:val="1A1A1A"/>
                <w:sz w:val="20"/>
                <w:szCs w:val="20"/>
              </w:rPr>
              <w:t xml:space="preserve">A final board decision on size and structure is expected in approximately 10 days; underwriters have not yet been formally engaged.</w:t>
            </w:r>
          </w:p>
        </w:tc>
      </w:tr>
    </w:tbl>
    <w:p>
      <w:pPr>
        <w:spacing w:after="60" w:before="100"/>
      </w:pPr>
      <w:r>
        <w:rPr>
          <w:rFonts w:ascii="Georgia" w:cs="Georgia" w:eastAsia="Georgia" w:hAnsi="Georgia"/>
          <w:b/>
          <w:bCs/>
          <w:color w:val="13294B"/>
          <w:sz w:val="22"/>
          <w:szCs w:val="22"/>
        </w:rPr>
        <w:t xml:space="preserve">Your Task as the Disclosure Committee</w:t>
      </w:r>
    </w:p>
    <w:p>
      <w:pPr>
        <w:pStyle w:val="ListParagraph"/>
        <w:numPr>
          <w:ilvl w:val="0"/>
          <w:numId w:val="8"/>
        </w:numPr>
        <w:spacing w:after="110"/>
      </w:pPr>
      <w:r>
        <w:rPr>
          <w:rFonts w:ascii="Calibri" w:cs="Calibri" w:eastAsia="Calibri" w:hAnsi="Calibri"/>
          <w:color w:val="1A1A1A"/>
          <w:sz w:val="21"/>
          <w:szCs w:val="21"/>
        </w:rPr>
        <w:t xml:space="preserve">At what point in this timeline did (or will) the capital raise become material — the in-principle approval two weeks ago, the board members' public remarks last week, or the final decision in 10 days? Justify your choice.</w:t>
      </w:r>
    </w:p>
    <w:p>
      <w:pPr>
        <w:pStyle w:val="ListParagraph"/>
        <w:numPr>
          <w:ilvl w:val="0"/>
          <w:numId w:val="8"/>
        </w:numPr>
        <w:spacing w:after="110"/>
      </w:pPr>
      <w:r>
        <w:rPr>
          <w:rFonts w:ascii="Calibri" w:cs="Calibri" w:eastAsia="Calibri" w:hAnsi="Calibri"/>
          <w:color w:val="1A1A1A"/>
          <w:sz w:val="21"/>
          <w:szCs w:val="21"/>
        </w:rPr>
        <w:t xml:space="preserve">Do the board members' vague public conference remarks create a selective-disclosure problem, given that they were public but not specific?</w:t>
      </w:r>
    </w:p>
    <w:p>
      <w:pPr>
        <w:pStyle w:val="ListParagraph"/>
        <w:numPr>
          <w:ilvl w:val="0"/>
          <w:numId w:val="8"/>
        </w:numPr>
        <w:spacing w:after="110"/>
      </w:pPr>
      <w:r>
        <w:rPr>
          <w:rFonts w:ascii="Calibri" w:cs="Calibri" w:eastAsia="Calibri" w:hAnsi="Calibri"/>
          <w:color w:val="1A1A1A"/>
          <w:sz w:val="21"/>
          <w:szCs w:val="21"/>
        </w:rPr>
        <w:t xml:space="preserve">State your committee's conclusion: does this scenario require disclosure now, soon, or not yet — and why?</w:t>
      </w:r>
    </w:p>
    <w:p>
      <w:pPr>
        <w:spacing w:after="80" w:before="80"/>
      </w:pPr>
    </w:p>
    <w:p>
      <w:pPr>
        <w:pStyle w:val="Heading2"/>
        <w:spacing w:after="150" w:before="300"/>
      </w:pPr>
      <w:r>
        <w:rPr>
          <w:rFonts w:ascii="Georgia" w:cs="Georgia" w:eastAsia="Georgia" w:hAnsi="Georgia"/>
          <w:b/>
          <w:bCs/>
          <w:color w:val="13294B"/>
          <w:sz w:val="23"/>
          <w:szCs w:val="23"/>
        </w:rPr>
        <w:t xml:space="preserve">Scenario 2.3 — A Minor Customer Dispute</w:t>
      </w:r>
    </w:p>
    <w:tbl>
      <w:tblPr>
        <w:tblW w:type="dxa" w:w="97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9700"/>
            <w:tcBorders>
              <w:top w:val="single" w:color="B08D3D" w:sz="4"/>
              <w:left w:val="single" w:color="B08D3D" w:sz="16"/>
              <w:bottom w:val="single" w:color="B08D3D" w:sz="4"/>
              <w:right w:val="single" w:color="B08D3D" w:sz="4"/>
            </w:tcBorders>
            <w:shd w:fill="F5F1E8" w:val="clear"/>
            <w:tcMar>
              <w:top w:type="dxa" w:w="140"/>
              <w:left w:type="dxa" w:w="200"/>
              <w:bottom w:type="dxa" w:w="140"/>
              <w:right w:type="dxa" w:w="200"/>
            </w:tcMar>
          </w:tcPr>
          <w:p>
            <w:pPr>
              <w:spacing w:after="80"/>
            </w:pPr>
            <w:r>
              <w:rPr>
                <w:rFonts w:ascii="Georgia" w:cs="Georgia" w:eastAsia="Georgia" w:hAnsi="Georgia"/>
                <w:b/>
                <w:bCs/>
                <w:color w:val="0B1E39"/>
                <w:sz w:val="22"/>
                <w:szCs w:val="22"/>
              </w:rPr>
              <w:t xml:space="preserve">Facts of the Case</w:t>
            </w:r>
          </w:p>
          <w:p>
            <w:pPr>
              <w:pStyle w:val="ListParagraph"/>
              <w:numPr>
                <w:ilvl w:val="0"/>
                <w:numId w:val="1"/>
              </w:numPr>
              <w:spacing w:after="60"/>
            </w:pPr>
            <w:r>
              <w:rPr>
                <w:rFonts w:ascii="Calibri" w:cs="Calibri" w:eastAsia="Calibri" w:hAnsi="Calibri"/>
                <w:color w:val="1A1A1A"/>
                <w:sz w:val="20"/>
                <w:szCs w:val="20"/>
              </w:rPr>
              <w:t xml:space="preserve">A leasing customer of “Boğaz Finansal Kiralama A.Ş.” has filed a commercial claim disputing a contract termination fee, seeking compensation equivalent to approximately 0.15% of the company's market capitalisation.</w:t>
            </w:r>
          </w:p>
          <w:p>
            <w:pPr>
              <w:pStyle w:val="ListParagraph"/>
              <w:numPr>
                <w:ilvl w:val="0"/>
                <w:numId w:val="1"/>
              </w:numPr>
              <w:spacing w:after="60"/>
            </w:pPr>
            <w:r>
              <w:rPr>
                <w:rFonts w:ascii="Calibri" w:cs="Calibri" w:eastAsia="Calibri" w:hAnsi="Calibri"/>
                <w:color w:val="1A1A1A"/>
                <w:sz w:val="20"/>
                <w:szCs w:val="20"/>
              </w:rPr>
              <w:t xml:space="preserve">The company's legal department assesses the claim as low probability of success against the company, based on the underlying contract terms, and has handled dozens of similar disputes in the ordinary course of business over the past two years.</w:t>
            </w:r>
          </w:p>
          <w:p>
            <w:pPr>
              <w:pStyle w:val="ListParagraph"/>
              <w:numPr>
                <w:ilvl w:val="0"/>
                <w:numId w:val="1"/>
              </w:numPr>
              <w:spacing w:after="60"/>
            </w:pPr>
            <w:r>
              <w:rPr>
                <w:rFonts w:ascii="Calibri" w:cs="Calibri" w:eastAsia="Calibri" w:hAnsi="Calibri"/>
                <w:color w:val="1A1A1A"/>
                <w:sz w:val="20"/>
                <w:szCs w:val="20"/>
              </w:rPr>
              <w:t xml:space="preserve">No media coverage or investor inquiries have referenced the dispute.</w:t>
            </w:r>
          </w:p>
          <w:p>
            <w:pPr>
              <w:pStyle w:val="ListParagraph"/>
              <w:numPr>
                <w:ilvl w:val="0"/>
                <w:numId w:val="1"/>
              </w:numPr>
              <w:spacing w:after="60"/>
            </w:pPr>
            <w:r>
              <w:rPr>
                <w:rFonts w:ascii="Calibri" w:cs="Calibri" w:eastAsia="Calibri" w:hAnsi="Calibri"/>
                <w:color w:val="1A1A1A"/>
                <w:sz w:val="20"/>
                <w:szCs w:val="20"/>
              </w:rPr>
              <w:t xml:space="preserve">The claim is proceeding through standard commercial arbitration, with a decision not expected for at least a year.</w:t>
            </w:r>
          </w:p>
        </w:tc>
      </w:tr>
    </w:tbl>
    <w:p>
      <w:pPr>
        <w:spacing w:after="60" w:before="100"/>
      </w:pPr>
      <w:r>
        <w:rPr>
          <w:rFonts w:ascii="Georgia" w:cs="Georgia" w:eastAsia="Georgia" w:hAnsi="Georgia"/>
          <w:b/>
          <w:bCs/>
          <w:color w:val="13294B"/>
          <w:sz w:val="22"/>
          <w:szCs w:val="22"/>
        </w:rPr>
        <w:t xml:space="preserve">Your Task as the Disclosure Committee</w:t>
      </w:r>
    </w:p>
    <w:p>
      <w:pPr>
        <w:pStyle w:val="ListParagraph"/>
        <w:numPr>
          <w:ilvl w:val="0"/>
          <w:numId w:val="9"/>
        </w:numPr>
        <w:spacing w:after="110"/>
      </w:pPr>
      <w:r>
        <w:rPr>
          <w:rFonts w:ascii="Calibri" w:cs="Calibri" w:eastAsia="Calibri" w:hAnsi="Calibri"/>
          <w:color w:val="1A1A1A"/>
          <w:sz w:val="21"/>
          <w:szCs w:val="21"/>
        </w:rPr>
        <w:t xml:space="preserve">Apply the probability-×-magnitude test: with a low-probability claim at ~0.15% of market capitalisation, does this clear the materiality bar?</w:t>
      </w:r>
    </w:p>
    <w:p>
      <w:pPr>
        <w:pStyle w:val="ListParagraph"/>
        <w:numPr>
          <w:ilvl w:val="0"/>
          <w:numId w:val="9"/>
        </w:numPr>
        <w:spacing w:after="110"/>
      </w:pPr>
      <w:r>
        <w:rPr>
          <w:rFonts w:ascii="Calibri" w:cs="Calibri" w:eastAsia="Calibri" w:hAnsi="Calibri"/>
          <w:color w:val="1A1A1A"/>
          <w:sz w:val="21"/>
          <w:szCs w:val="21"/>
        </w:rPr>
        <w:t xml:space="preserve">Does the fact that the company routinely handles similar disputes in the ordinary course of business affect how this specific claim should be classified?</w:t>
      </w:r>
    </w:p>
    <w:p>
      <w:pPr>
        <w:pStyle w:val="ListParagraph"/>
        <w:numPr>
          <w:ilvl w:val="0"/>
          <w:numId w:val="9"/>
        </w:numPr>
        <w:spacing w:after="110"/>
      </w:pPr>
      <w:r>
        <w:rPr>
          <w:rFonts w:ascii="Calibri" w:cs="Calibri" w:eastAsia="Calibri" w:hAnsi="Calibri"/>
          <w:color w:val="1A1A1A"/>
          <w:sz w:val="21"/>
          <w:szCs w:val="21"/>
        </w:rPr>
        <w:t xml:space="preserve">State your committee's conclusion: does this scenario require disclosure — and if your answer is no, what would have to change for your answer to flip to yes?</w:t>
      </w:r>
    </w:p>
    <w:p>
      <w:r>
        <w:br w:type="page"/>
      </w:r>
    </w:p>
    <w:p>
      <w:pPr>
        <w:pStyle w:val="Heading1"/>
        <w:pBdr>
          <w:bottom w:val="single" w:color="B08D3D" w:sz="6" w:space="4"/>
        </w:pBdr>
        <w:spacing w:after="150" w:before="300"/>
      </w:pPr>
      <w:r>
        <w:rPr>
          <w:rFonts w:ascii="Georgia" w:cs="Georgia" w:eastAsia="Georgia" w:hAnsi="Georgia"/>
          <w:b/>
          <w:bCs/>
          <w:color w:val="0B1E39"/>
          <w:sz w:val="28"/>
          <w:szCs w:val="28"/>
        </w:rPr>
        <w:t xml:space="preserve">Team 3 Scenarios — Türk Hava Yolları</w:t>
      </w:r>
    </w:p>
    <w:p>
      <w:pPr>
        <w:pStyle w:val="Heading2"/>
        <w:spacing w:after="150" w:before="300"/>
      </w:pPr>
      <w:r>
        <w:rPr>
          <w:rFonts w:ascii="Georgia" w:cs="Georgia" w:eastAsia="Georgia" w:hAnsi="Georgia"/>
          <w:b/>
          <w:bCs/>
          <w:color w:val="13294B"/>
          <w:sz w:val="23"/>
          <w:szCs w:val="23"/>
        </w:rPr>
        <w:t xml:space="preserve">Scenario 3.1 — A Major Fleet Order</w:t>
      </w:r>
    </w:p>
    <w:tbl>
      <w:tblPr>
        <w:tblW w:type="dxa" w:w="97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9700"/>
            <w:tcBorders>
              <w:top w:val="single" w:color="B08D3D" w:sz="4"/>
              <w:left w:val="single" w:color="B08D3D" w:sz="16"/>
              <w:bottom w:val="single" w:color="B08D3D" w:sz="4"/>
              <w:right w:val="single" w:color="B08D3D" w:sz="4"/>
            </w:tcBorders>
            <w:shd w:fill="F5F1E8" w:val="clear"/>
            <w:tcMar>
              <w:top w:type="dxa" w:w="140"/>
              <w:left w:type="dxa" w:w="200"/>
              <w:bottom w:type="dxa" w:w="140"/>
              <w:right w:type="dxa" w:w="200"/>
            </w:tcMar>
          </w:tcPr>
          <w:p>
            <w:pPr>
              <w:spacing w:after="80"/>
            </w:pPr>
            <w:r>
              <w:rPr>
                <w:rFonts w:ascii="Georgia" w:cs="Georgia" w:eastAsia="Georgia" w:hAnsi="Georgia"/>
                <w:b/>
                <w:bCs/>
                <w:color w:val="0B1E39"/>
                <w:sz w:val="22"/>
                <w:szCs w:val="22"/>
              </w:rPr>
              <w:t xml:space="preserve">Facts of the Case</w:t>
            </w:r>
          </w:p>
          <w:p>
            <w:pPr>
              <w:pStyle w:val="ListParagraph"/>
              <w:numPr>
                <w:ilvl w:val="0"/>
                <w:numId w:val="1"/>
              </w:numPr>
              <w:spacing w:after="60"/>
            </w:pPr>
            <w:r>
              <w:rPr>
                <w:rFonts w:ascii="Calibri" w:cs="Calibri" w:eastAsia="Calibri" w:hAnsi="Calibri"/>
                <w:color w:val="1A1A1A"/>
                <w:sz w:val="20"/>
                <w:szCs w:val="20"/>
              </w:rPr>
              <w:t xml:space="preserve">“Toros Hava Yolları A.Ş.” (fictional, BIST-listed national carrier) is finalising a firm order for 30 wide-body aircraft from a major manufacturer, with a list-price value equivalent to approximately 35% of the company's current market capitalisation (though actual negotiated pricing, as usual in the industry, is confidential and materially lower).</w:t>
            </w:r>
          </w:p>
          <w:p>
            <w:pPr>
              <w:pStyle w:val="ListParagraph"/>
              <w:numPr>
                <w:ilvl w:val="0"/>
                <w:numId w:val="1"/>
              </w:numPr>
              <w:spacing w:after="60"/>
            </w:pPr>
            <w:r>
              <w:rPr>
                <w:rFonts w:ascii="Calibri" w:cs="Calibri" w:eastAsia="Calibri" w:hAnsi="Calibri"/>
                <w:color w:val="1A1A1A"/>
                <w:sz w:val="20"/>
                <w:szCs w:val="20"/>
              </w:rPr>
              <w:t xml:space="preserve">Contract negotiations are in their final stage; the manufacturer's board has already approved the sale on its side.</w:t>
            </w:r>
          </w:p>
          <w:p>
            <w:pPr>
              <w:pStyle w:val="ListParagraph"/>
              <w:numPr>
                <w:ilvl w:val="0"/>
                <w:numId w:val="1"/>
              </w:numPr>
              <w:spacing w:after="60"/>
            </w:pPr>
            <w:r>
              <w:rPr>
                <w:rFonts w:ascii="Calibri" w:cs="Calibri" w:eastAsia="Calibri" w:hAnsi="Calibri"/>
                <w:color w:val="1A1A1A"/>
                <w:sz w:val="20"/>
                <w:szCs w:val="20"/>
              </w:rPr>
              <w:t xml:space="preserve">Toros's own board approved the transaction in principle at a meeting eight days ago; final signature is expected within the next 5 business days pending financing confirmation.</w:t>
            </w:r>
          </w:p>
          <w:p>
            <w:pPr>
              <w:pStyle w:val="ListParagraph"/>
              <w:numPr>
                <w:ilvl w:val="0"/>
                <w:numId w:val="1"/>
              </w:numPr>
              <w:spacing w:after="60"/>
            </w:pPr>
            <w:r>
              <w:rPr>
                <w:rFonts w:ascii="Calibri" w:cs="Calibri" w:eastAsia="Calibri" w:hAnsi="Calibri"/>
                <w:color w:val="1A1A1A"/>
                <w:sz w:val="20"/>
                <w:szCs w:val="20"/>
              </w:rPr>
              <w:t xml:space="preserve">Financing (a mix of export-credit-backed loans and sale-leaseback arrangements) is approximately 80% committed but not fully finalised.</w:t>
            </w:r>
          </w:p>
        </w:tc>
      </w:tr>
    </w:tbl>
    <w:p>
      <w:pPr>
        <w:spacing w:after="60" w:before="100"/>
      </w:pPr>
      <w:r>
        <w:rPr>
          <w:rFonts w:ascii="Georgia" w:cs="Georgia" w:eastAsia="Georgia" w:hAnsi="Georgia"/>
          <w:b/>
          <w:bCs/>
          <w:color w:val="13294B"/>
          <w:sz w:val="22"/>
          <w:szCs w:val="22"/>
        </w:rPr>
        <w:t xml:space="preserve">Your Task as the Disclosure Committee</w:t>
      </w:r>
    </w:p>
    <w:p>
      <w:pPr>
        <w:pStyle w:val="ListParagraph"/>
        <w:numPr>
          <w:ilvl w:val="0"/>
          <w:numId w:val="10"/>
        </w:numPr>
        <w:spacing w:after="110"/>
      </w:pPr>
      <w:r>
        <w:rPr>
          <w:rFonts w:ascii="Calibri" w:cs="Calibri" w:eastAsia="Calibri" w:hAnsi="Calibri"/>
          <w:color w:val="1A1A1A"/>
          <w:sz w:val="21"/>
          <w:szCs w:val="21"/>
        </w:rPr>
        <w:t xml:space="preserve">Is the order material at this stage, given that Toros's own board has already approved it in principle, even though signature and financing are not fully final?</w:t>
      </w:r>
    </w:p>
    <w:p>
      <w:pPr>
        <w:pStyle w:val="ListParagraph"/>
        <w:numPr>
          <w:ilvl w:val="0"/>
          <w:numId w:val="10"/>
        </w:numPr>
        <w:spacing w:after="110"/>
      </w:pPr>
      <w:r>
        <w:rPr>
          <w:rFonts w:ascii="Calibri" w:cs="Calibri" w:eastAsia="Calibri" w:hAnsi="Calibri"/>
          <w:color w:val="1A1A1A"/>
          <w:sz w:val="21"/>
          <w:szCs w:val="21"/>
        </w:rPr>
        <w:t xml:space="preserve">Does the fact that actual negotiated pricing is confidential (and materially below list price) affect how the company should describe the transaction's magnitude in any disclosure?</w:t>
      </w:r>
    </w:p>
    <w:p>
      <w:pPr>
        <w:pStyle w:val="ListParagraph"/>
        <w:numPr>
          <w:ilvl w:val="0"/>
          <w:numId w:val="10"/>
        </w:numPr>
        <w:spacing w:after="110"/>
      </w:pPr>
      <w:r>
        <w:rPr>
          <w:rFonts w:ascii="Calibri" w:cs="Calibri" w:eastAsia="Calibri" w:hAnsi="Calibri"/>
          <w:color w:val="1A1A1A"/>
          <w:sz w:val="21"/>
          <w:szCs w:val="21"/>
        </w:rPr>
        <w:t xml:space="preserve">State your committee's conclusion: does this scenario require disclosure now, soon, or not yet — and why?</w:t>
      </w:r>
    </w:p>
    <w:p>
      <w:pPr>
        <w:spacing w:after="80" w:before="80"/>
      </w:pPr>
    </w:p>
    <w:p>
      <w:pPr>
        <w:pStyle w:val="Heading2"/>
        <w:spacing w:after="150" w:before="300"/>
      </w:pPr>
      <w:r>
        <w:rPr>
          <w:rFonts w:ascii="Georgia" w:cs="Georgia" w:eastAsia="Georgia" w:hAnsi="Georgia"/>
          <w:b/>
          <w:bCs/>
          <w:color w:val="13294B"/>
          <w:sz w:val="23"/>
          <w:szCs w:val="23"/>
        </w:rPr>
        <w:t xml:space="preserve">Scenario 3.2 — A Regulatory Grounding With Earnings Impact</w:t>
      </w:r>
    </w:p>
    <w:tbl>
      <w:tblPr>
        <w:tblW w:type="dxa" w:w="97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9700"/>
            <w:tcBorders>
              <w:top w:val="single" w:color="B08D3D" w:sz="4"/>
              <w:left w:val="single" w:color="B08D3D" w:sz="16"/>
              <w:bottom w:val="single" w:color="B08D3D" w:sz="4"/>
              <w:right w:val="single" w:color="B08D3D" w:sz="4"/>
            </w:tcBorders>
            <w:shd w:fill="F5F1E8" w:val="clear"/>
            <w:tcMar>
              <w:top w:type="dxa" w:w="140"/>
              <w:left w:type="dxa" w:w="200"/>
              <w:bottom w:type="dxa" w:w="140"/>
              <w:right w:type="dxa" w:w="200"/>
            </w:tcMar>
          </w:tcPr>
          <w:p>
            <w:pPr>
              <w:spacing w:after="80"/>
            </w:pPr>
            <w:r>
              <w:rPr>
                <w:rFonts w:ascii="Georgia" w:cs="Georgia" w:eastAsia="Georgia" w:hAnsi="Georgia"/>
                <w:b/>
                <w:bCs/>
                <w:color w:val="0B1E39"/>
                <w:sz w:val="22"/>
                <w:szCs w:val="22"/>
              </w:rPr>
              <w:t xml:space="preserve">Facts of the Case</w:t>
            </w:r>
          </w:p>
          <w:p>
            <w:pPr>
              <w:pStyle w:val="ListParagraph"/>
              <w:numPr>
                <w:ilvl w:val="0"/>
                <w:numId w:val="1"/>
              </w:numPr>
              <w:spacing w:after="60"/>
            </w:pPr>
            <w:r>
              <w:rPr>
                <w:rFonts w:ascii="Calibri" w:cs="Calibri" w:eastAsia="Calibri" w:hAnsi="Calibri"/>
                <w:color w:val="1A1A1A"/>
                <w:sz w:val="20"/>
                <w:szCs w:val="20"/>
              </w:rPr>
              <w:t xml:space="preserve">A civil aviation authority issued an emergency directive two days ago grounding a specific aircraft type pending inspection, affecting 12 of Toros Hava Yolları's aircraft (approximately 9% of its total fleet capacity).</w:t>
            </w:r>
          </w:p>
          <w:p>
            <w:pPr>
              <w:pStyle w:val="ListParagraph"/>
              <w:numPr>
                <w:ilvl w:val="0"/>
                <w:numId w:val="1"/>
              </w:numPr>
              <w:spacing w:after="60"/>
            </w:pPr>
            <w:r>
              <w:rPr>
                <w:rFonts w:ascii="Calibri" w:cs="Calibri" w:eastAsia="Calibri" w:hAnsi="Calibri"/>
                <w:color w:val="1A1A1A"/>
                <w:sz w:val="20"/>
                <w:szCs w:val="20"/>
              </w:rPr>
              <w:t xml:space="preserve">Initial internal estimates suggest the grounding could reduce the current quarter's revenue by 3% to 7%, depending on how quickly inspections are completed and capacity is restored.</w:t>
            </w:r>
          </w:p>
          <w:p>
            <w:pPr>
              <w:pStyle w:val="ListParagraph"/>
              <w:numPr>
                <w:ilvl w:val="0"/>
                <w:numId w:val="1"/>
              </w:numPr>
              <w:spacing w:after="60"/>
            </w:pPr>
            <w:r>
              <w:rPr>
                <w:rFonts w:ascii="Calibri" w:cs="Calibri" w:eastAsia="Calibri" w:hAnsi="Calibri"/>
                <w:color w:val="1A1A1A"/>
                <w:sz w:val="20"/>
                <w:szCs w:val="20"/>
              </w:rPr>
              <w:t xml:space="preserve">The airline has already had to cancel or consolidate several routes in the past 48 hours, visible to the public through flight-status systems and social media.</w:t>
            </w:r>
          </w:p>
          <w:p>
            <w:pPr>
              <w:pStyle w:val="ListParagraph"/>
              <w:numPr>
                <w:ilvl w:val="0"/>
                <w:numId w:val="1"/>
              </w:numPr>
              <w:spacing w:after="60"/>
            </w:pPr>
            <w:r>
              <w:rPr>
                <w:rFonts w:ascii="Calibri" w:cs="Calibri" w:eastAsia="Calibri" w:hAnsi="Calibri"/>
                <w:color w:val="1A1A1A"/>
                <w:sz w:val="20"/>
                <w:szCs w:val="20"/>
              </w:rPr>
              <w:t xml:space="preserve">No official company statement has yet been issued; management is still gathering final inspection timelines from the manufacturer.</w:t>
            </w:r>
          </w:p>
        </w:tc>
      </w:tr>
    </w:tbl>
    <w:p>
      <w:pPr>
        <w:spacing w:after="60" w:before="100"/>
      </w:pPr>
      <w:r>
        <w:rPr>
          <w:rFonts w:ascii="Georgia" w:cs="Georgia" w:eastAsia="Georgia" w:hAnsi="Georgia"/>
          <w:b/>
          <w:bCs/>
          <w:color w:val="13294B"/>
          <w:sz w:val="22"/>
          <w:szCs w:val="22"/>
        </w:rPr>
        <w:t xml:space="preserve">Your Task as the Disclosure Committee</w:t>
      </w:r>
    </w:p>
    <w:p>
      <w:pPr>
        <w:pStyle w:val="ListParagraph"/>
        <w:numPr>
          <w:ilvl w:val="0"/>
          <w:numId w:val="11"/>
        </w:numPr>
        <w:spacing w:after="110"/>
      </w:pPr>
      <w:r>
        <w:rPr>
          <w:rFonts w:ascii="Calibri" w:cs="Calibri" w:eastAsia="Calibri" w:hAnsi="Calibri"/>
          <w:color w:val="1A1A1A"/>
          <w:sz w:val="21"/>
          <w:szCs w:val="21"/>
        </w:rPr>
        <w:t xml:space="preserve">Given that flight cancellations are already publicly visible (even without a company statement), does this change the urgency of a formal disclosure compared to a situation with no public visibility?</w:t>
      </w:r>
    </w:p>
    <w:p>
      <w:pPr>
        <w:pStyle w:val="ListParagraph"/>
        <w:numPr>
          <w:ilvl w:val="0"/>
          <w:numId w:val="11"/>
        </w:numPr>
        <w:spacing w:after="110"/>
      </w:pPr>
      <w:r>
        <w:rPr>
          <w:rFonts w:ascii="Calibri" w:cs="Calibri" w:eastAsia="Calibri" w:hAnsi="Calibri"/>
          <w:color w:val="1A1A1A"/>
          <w:sz w:val="21"/>
          <w:szCs w:val="21"/>
        </w:rPr>
        <w:t xml:space="preserve">Is the wide range in the internal revenue estimate (3%–7%) a valid reason to delay disclosure until the range narrows, or does the grounding itself already constitute a material fact?</w:t>
      </w:r>
    </w:p>
    <w:p>
      <w:pPr>
        <w:pStyle w:val="ListParagraph"/>
        <w:numPr>
          <w:ilvl w:val="0"/>
          <w:numId w:val="11"/>
        </w:numPr>
        <w:spacing w:after="110"/>
      </w:pPr>
      <w:r>
        <w:rPr>
          <w:rFonts w:ascii="Calibri" w:cs="Calibri" w:eastAsia="Calibri" w:hAnsi="Calibri"/>
          <w:color w:val="1A1A1A"/>
          <w:sz w:val="21"/>
          <w:szCs w:val="21"/>
        </w:rPr>
        <w:t xml:space="preserve">State your committee's conclusion: does this scenario require disclosure now, soon, or not yet — and why?</w:t>
      </w:r>
    </w:p>
    <w:p>
      <w:pPr>
        <w:spacing w:after="80" w:before="80"/>
      </w:pPr>
    </w:p>
    <w:p>
      <w:pPr>
        <w:pStyle w:val="Heading2"/>
        <w:spacing w:after="150" w:before="300"/>
      </w:pPr>
      <w:r>
        <w:rPr>
          <w:rFonts w:ascii="Georgia" w:cs="Georgia" w:eastAsia="Georgia" w:hAnsi="Georgia"/>
          <w:b/>
          <w:bCs/>
          <w:color w:val="13294B"/>
          <w:sz w:val="23"/>
          <w:szCs w:val="23"/>
        </w:rPr>
        <w:t xml:space="preserve">Scenario 3.3 — A Routine Union Wage Settlement</w:t>
      </w:r>
    </w:p>
    <w:tbl>
      <w:tblPr>
        <w:tblW w:type="dxa" w:w="97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9700"/>
            <w:tcBorders>
              <w:top w:val="single" w:color="B08D3D" w:sz="4"/>
              <w:left w:val="single" w:color="B08D3D" w:sz="16"/>
              <w:bottom w:val="single" w:color="B08D3D" w:sz="4"/>
              <w:right w:val="single" w:color="B08D3D" w:sz="4"/>
            </w:tcBorders>
            <w:shd w:fill="F5F1E8" w:val="clear"/>
            <w:tcMar>
              <w:top w:type="dxa" w:w="140"/>
              <w:left w:type="dxa" w:w="200"/>
              <w:bottom w:type="dxa" w:w="140"/>
              <w:right w:type="dxa" w:w="200"/>
            </w:tcMar>
          </w:tcPr>
          <w:p>
            <w:pPr>
              <w:spacing w:after="80"/>
            </w:pPr>
            <w:r>
              <w:rPr>
                <w:rFonts w:ascii="Georgia" w:cs="Georgia" w:eastAsia="Georgia" w:hAnsi="Georgia"/>
                <w:b/>
                <w:bCs/>
                <w:color w:val="0B1E39"/>
                <w:sz w:val="22"/>
                <w:szCs w:val="22"/>
              </w:rPr>
              <w:t xml:space="preserve">Facts of the Case</w:t>
            </w:r>
          </w:p>
          <w:p>
            <w:pPr>
              <w:pStyle w:val="ListParagraph"/>
              <w:numPr>
                <w:ilvl w:val="0"/>
                <w:numId w:val="1"/>
              </w:numPr>
              <w:spacing w:after="60"/>
            </w:pPr>
            <w:r>
              <w:rPr>
                <w:rFonts w:ascii="Calibri" w:cs="Calibri" w:eastAsia="Calibri" w:hAnsi="Calibri"/>
                <w:color w:val="1A1A1A"/>
                <w:sz w:val="20"/>
                <w:szCs w:val="20"/>
              </w:rPr>
              <w:t xml:space="preserve">Toros Hava Yolları has concluded its annual collective bargaining renewal with the cabin crew union, agreeing to a wage increase in line with the rate already assumed in the company's internal annual budget.</w:t>
            </w:r>
          </w:p>
          <w:p>
            <w:pPr>
              <w:pStyle w:val="ListParagraph"/>
              <w:numPr>
                <w:ilvl w:val="0"/>
                <w:numId w:val="1"/>
              </w:numPr>
              <w:spacing w:after="60"/>
            </w:pPr>
            <w:r>
              <w:rPr>
                <w:rFonts w:ascii="Calibri" w:cs="Calibri" w:eastAsia="Calibri" w:hAnsi="Calibri"/>
                <w:color w:val="1A1A1A"/>
                <w:sz w:val="20"/>
                <w:szCs w:val="20"/>
              </w:rPr>
              <w:t xml:space="preserve">The settlement follows the same negotiation cycle and structure as in each of the past several years, with no strike action or public dispute at any point in the process.</w:t>
            </w:r>
          </w:p>
          <w:p>
            <w:pPr>
              <w:pStyle w:val="ListParagraph"/>
              <w:numPr>
                <w:ilvl w:val="0"/>
                <w:numId w:val="1"/>
              </w:numPr>
              <w:spacing w:after="60"/>
            </w:pPr>
            <w:r>
              <w:rPr>
                <w:rFonts w:ascii="Calibri" w:cs="Calibri" w:eastAsia="Calibri" w:hAnsi="Calibri"/>
                <w:color w:val="1A1A1A"/>
                <w:sz w:val="20"/>
                <w:szCs w:val="20"/>
              </w:rPr>
              <w:t xml:space="preserve">The financial impact is fully absorbed within previously guided cost assumptions for the year, with no change expected to consolidated guidance.</w:t>
            </w:r>
          </w:p>
          <w:p>
            <w:pPr>
              <w:pStyle w:val="ListParagraph"/>
              <w:numPr>
                <w:ilvl w:val="0"/>
                <w:numId w:val="1"/>
              </w:numPr>
              <w:spacing w:after="60"/>
            </w:pPr>
            <w:r>
              <w:rPr>
                <w:rFonts w:ascii="Calibri" w:cs="Calibri" w:eastAsia="Calibri" w:hAnsi="Calibri"/>
                <w:color w:val="1A1A1A"/>
                <w:sz w:val="20"/>
                <w:szCs w:val="20"/>
              </w:rPr>
              <w:t xml:space="preserve">The agreement is a standard renewal of an existing framework, not a new type of commitment.</w:t>
            </w:r>
          </w:p>
        </w:tc>
      </w:tr>
    </w:tbl>
    <w:p>
      <w:pPr>
        <w:spacing w:after="60" w:before="100"/>
      </w:pPr>
      <w:r>
        <w:rPr>
          <w:rFonts w:ascii="Georgia" w:cs="Georgia" w:eastAsia="Georgia" w:hAnsi="Georgia"/>
          <w:b/>
          <w:bCs/>
          <w:color w:val="13294B"/>
          <w:sz w:val="22"/>
          <w:szCs w:val="22"/>
        </w:rPr>
        <w:t xml:space="preserve">Your Task as the Disclosure Committee</w:t>
      </w:r>
    </w:p>
    <w:p>
      <w:pPr>
        <w:pStyle w:val="ListParagraph"/>
        <w:numPr>
          <w:ilvl w:val="0"/>
          <w:numId w:val="12"/>
        </w:numPr>
        <w:spacing w:after="110"/>
      </w:pPr>
      <w:r>
        <w:rPr>
          <w:rFonts w:ascii="Calibri" w:cs="Calibri" w:eastAsia="Calibri" w:hAnsi="Calibri"/>
          <w:color w:val="1A1A1A"/>
          <w:sz w:val="21"/>
          <w:szCs w:val="21"/>
        </w:rPr>
        <w:t xml:space="preserve">Apply the probability-×-magnitude test: if the financial impact is already fully within previously guided assumptions, is there a new material fact here at all?</w:t>
      </w:r>
    </w:p>
    <w:p>
      <w:pPr>
        <w:pStyle w:val="ListParagraph"/>
        <w:numPr>
          <w:ilvl w:val="0"/>
          <w:numId w:val="12"/>
        </w:numPr>
        <w:spacing w:after="110"/>
      </w:pPr>
      <w:r>
        <w:rPr>
          <w:rFonts w:ascii="Calibri" w:cs="Calibri" w:eastAsia="Calibri" w:hAnsi="Calibri"/>
          <w:color w:val="1A1A1A"/>
          <w:sz w:val="21"/>
          <w:szCs w:val="21"/>
        </w:rPr>
        <w:t xml:space="preserve">Does the routine, cyclical nature of this negotiation (as opposed to an unusual or first-time settlement) affect your materiality conclusion?</w:t>
      </w:r>
    </w:p>
    <w:p>
      <w:pPr>
        <w:pStyle w:val="ListParagraph"/>
        <w:numPr>
          <w:ilvl w:val="0"/>
          <w:numId w:val="12"/>
        </w:numPr>
        <w:spacing w:after="110"/>
      </w:pPr>
      <w:r>
        <w:rPr>
          <w:rFonts w:ascii="Calibri" w:cs="Calibri" w:eastAsia="Calibri" w:hAnsi="Calibri"/>
          <w:color w:val="1A1A1A"/>
          <w:sz w:val="21"/>
          <w:szCs w:val="21"/>
        </w:rPr>
        <w:t xml:space="preserve">State your committee's conclusion: does this scenario require disclosure — and if your answer is no, what would have to change for your answer to flip to yes?</w:t>
      </w:r>
    </w:p>
    <w:sectPr>
      <w:headerReference w:type="default" r:id="rId7"/>
      <w:footerReference w:type="default" r:id="rId8"/>
      <w:pgSz w:w="11906" w:h="16838" w:orient="portrait"/>
      <w:pgMar w:top="1100" w:right="1100" w:bottom="11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A5A5A"/>
        <w:sz w:val="16"/>
        <w:szCs w:val="16"/>
      </w:rPr>
      <w:t xml:space="preserve">Page </w:t>
    </w:r>
    <w:r>
      <w:rPr>
        <w:rFonts w:ascii="Calibri" w:cs="Calibri" w:eastAsia="Calibri" w:hAnsi="Calibri"/>
        <w:color w:val="5A5A5A"/>
        <w:sz w:val="16"/>
        <w:szCs w:val="16"/>
      </w:rPr>
      <w:fldChar w:fldCharType="begin"/>
      <w:instrText xml:space="preserve">PAGE</w:instrText>
      <w:fldChar w:fldCharType="separate"/>
      <w:fldChar w:fldCharType="end"/>
    </w:r>
    <w:r>
      <w:rPr>
        <w:rFonts w:ascii="Calibri" w:cs="Calibri" w:eastAsia="Calibri" w:hAnsi="Calibri"/>
        <w:color w:val="5A5A5A"/>
        <w:sz w:val="16"/>
        <w:szCs w:val="16"/>
      </w:rPr>
      <w:t xml:space="preserve"> of </w:t>
    </w:r>
    <w:r>
      <w:rPr>
        <w:rFonts w:ascii="Calibri" w:cs="Calibri" w:eastAsia="Calibri" w:hAnsi="Calibri"/>
        <w:color w:val="5A5A5A"/>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9C48A" w:sz="4" w:space="4"/>
      </w:pBdr>
      <w:jc w:val="right"/>
    </w:pPr>
    <w:r>
      <w:rPr>
        <w:rFonts w:ascii="Calibri" w:cs="Calibri" w:eastAsia="Calibri" w:hAnsi="Calibri"/>
        <w:color w:val="5A5A5A"/>
        <w:sz w:val="16"/>
        <w:szCs w:val="16"/>
      </w:rPr>
      <w:t xml:space="preserve">ADEX 547 · Session Study Guide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lvl>
  </w:abstractNum>
  <w:abstractNum w:abstractNumId="3" w15:restartNumberingAfterBreak="0">
    <w:multiLevelType w:val="hybridMultilevel"/>
    <w:lvl w:ilvl="0" w15:tentative="1">
      <w:start w:val="1"/>
      <w:numFmt w:val="decimal"/>
      <w:lvlText w:val="%1."/>
      <w:lvlJc w:val="start"/>
    </w:lvl>
  </w:abstractNum>
  <w:abstractNum w:abstractNumId="4" w15:restartNumberingAfterBreak="0">
    <w:multiLevelType w:val="hybridMultilevel"/>
    <w:lvl w:ilvl="0" w15:tentative="1">
      <w:start w:val="1"/>
      <w:numFmt w:val="decimal"/>
      <w:lvlText w:val="%1."/>
      <w:lvlJc w:val="start"/>
    </w:lvl>
  </w:abstractNum>
  <w:abstractNum w:abstractNumId="5" w15:restartNumberingAfterBreak="0">
    <w:multiLevelType w:val="hybridMultilevel"/>
    <w:lvl w:ilvl="0" w15:tentative="1">
      <w:start w:val="1"/>
      <w:numFmt w:val="decimal"/>
      <w:lvlText w:val="%1."/>
      <w:lvlJc w:val="start"/>
    </w:lvl>
  </w:abstractNum>
  <w:abstractNum w:abstractNumId="6" w15:restartNumberingAfterBreak="0">
    <w:multiLevelType w:val="hybridMultilevel"/>
    <w:lvl w:ilvl="0" w15:tentative="1">
      <w:start w:val="1"/>
      <w:numFmt w:val="decimal"/>
      <w:lvlText w:val="%1."/>
      <w:lvlJc w:val="start"/>
    </w:lvl>
  </w:abstractNum>
  <w:abstractNum w:abstractNumId="7" w15:restartNumberingAfterBreak="0">
    <w:multiLevelType w:val="hybridMultilevel"/>
    <w:lvl w:ilvl="0" w15:tentative="1">
      <w:start w:val="1"/>
      <w:numFmt w:val="decimal"/>
      <w:lvlText w:val="%1."/>
      <w:lvlJc w:val="start"/>
    </w:lvl>
  </w:abstractNum>
  <w:abstractNum w:abstractNumId="8" w15:restartNumberingAfterBreak="0">
    <w:multiLevelType w:val="hybridMultilevel"/>
    <w:lvl w:ilvl="0" w15:tentative="1">
      <w:start w:val="1"/>
      <w:numFmt w:val="decimal"/>
      <w:lvlText w:val="%1."/>
      <w:lvlJc w:val="start"/>
    </w:lvl>
  </w:abstractNum>
  <w:abstractNum w:abstractNumId="9" w15:restartNumberingAfterBreak="0">
    <w:multiLevelType w:val="hybridMultilevel"/>
    <w:lvl w:ilvl="0" w15:tentative="1">
      <w:start w:val="1"/>
      <w:numFmt w:val="decimal"/>
      <w:lvlText w:val="%1."/>
      <w:lvlJc w:val="start"/>
    </w:lvl>
  </w:abstractNum>
  <w:abstractNum w:abstractNumId="10" w15:restartNumberingAfterBreak="0">
    <w:multiLevelType w:val="hybridMultilevel"/>
    <w:lvl w:ilvl="0" w15:tentative="1">
      <w:start w:val="1"/>
      <w:numFmt w:val="decimal"/>
      <w:lvlText w:val="%1."/>
      <w:lvlJc w:val="start"/>
    </w:lvl>
  </w:abstractNum>
  <w:abstractNum w:abstractNumId="11" w15:restartNumberingAfterBreak="0">
    <w:multiLevelType w:val="hybridMultilevel"/>
    <w:lvl w:ilvl="0" w15:tentative="1">
      <w:start w:val="1"/>
      <w:numFmt w:val="decimal"/>
      <w:lvlText w:val="%1."/>
      <w:lvlJc w:val="start"/>
    </w:lvl>
  </w:abstractNum>
  <w:abstractNum w:abstractNumId="12" w15:restartNumberingAfterBreak="0">
    <w:multiLevelType w:val="hybridMultilevel"/>
    <w:lvl w:ilvl="0" w15:tentative="1">
      <w:start w:val="1"/>
      <w:numFmt w:val="decimal"/>
      <w:lvlText w:val="%1."/>
      <w:lvlJc w:val="start"/>
    </w:lvl>
  </w:abstractNum>
  <w:abstractNum w:abstractNumId="13" w15:restartNumberingAfterBreak="0">
    <w:multiLevelType w:val="hybridMultilevel"/>
    <w:lvl w:ilvl="0" w15:tentative="1">
      <w:start w:val="1"/>
      <w:numFmt w:val="decimal"/>
      <w:lvlText w:val="%1."/>
      <w:lvlJc w:val="start"/>
    </w:lvl>
  </w:abstractNum>
  <w:num w:numId="1">
    <w:abstractNumId w:val="1"/>
    <w:lvlOverride w:ilvl="0">
      <w:startOverride w:val="1"/>
    </w:lvlOverride>
  </w:num>
  <w:num w:numId="2">
    <w:abstractNumId w:val="4"/>
    <w:lvlOverride w:ilvl="0">
      <w:startOverride w:val="1"/>
    </w:lvlOverride>
  </w:num>
  <w:num w:numId="3">
    <w:abstractNumId w:val="2"/>
    <w:lvlOverride w:ilvl="0">
      <w:startOverride w:val="1"/>
    </w:lvlOverride>
  </w:num>
  <w:num w:numId="4">
    <w:abstractNumId w:val="5"/>
    <w:lvlOverride w:ilvl="0">
      <w:startOverride w:val="1"/>
    </w:lvlOverride>
  </w:num>
  <w:num w:numId="5">
    <w:abstractNumId w:val="6"/>
    <w:lvlOverride w:ilvl="0">
      <w:startOverride w:val="1"/>
    </w:lvlOverride>
  </w:num>
  <w:num w:numId="6">
    <w:abstractNumId w:val="7"/>
    <w:lvlOverride w:ilvl="0">
      <w:startOverride w:val="1"/>
    </w:lvlOverride>
  </w:num>
  <w:num w:numId="7">
    <w:abstractNumId w:val="8"/>
    <w:lvlOverride w:ilvl="0">
      <w:startOverride w:val="1"/>
    </w:lvlOverride>
  </w:num>
  <w:num w:numId="8">
    <w:abstractNumId w:val="9"/>
    <w:lvlOverride w:ilvl="0">
      <w:startOverride w:val="1"/>
    </w:lvlOverride>
  </w:num>
  <w:num w:numId="9">
    <w:abstractNumId w:val="10"/>
    <w:lvlOverride w:ilvl="0">
      <w:startOverride w:val="1"/>
    </w:lvlOverride>
  </w:num>
  <w:num w:numId="10">
    <w:abstractNumId w:val="11"/>
    <w:lvlOverride w:ilvl="0">
      <w:startOverride w:val="1"/>
    </w:lvlOverride>
  </w:num>
  <w:num w:numId="11">
    <w:abstractNumId w:val="12"/>
    <w:lvlOverride w:ilvl="0">
      <w:startOverride w:val="1"/>
    </w:lvlOverride>
  </w:num>
  <w:num w:numId="12">
    <w:abstractNumId w:val="1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2026-07-15T20:01:42.689Z</dcterms:created>
  <dcterms:modified xsi:type="dcterms:W3CDTF">2026-07-15T20:01:42.689Z</dcterms:modified>
</cp:coreProperties>
</file>

<file path=docProps/custom.xml><?xml version="1.0" encoding="utf-8"?>
<Properties xmlns="http://schemas.openxmlformats.org/officeDocument/2006/custom-properties" xmlns:vt="http://schemas.openxmlformats.org/officeDocument/2006/docPropsVTypes"/>
</file>