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00"/>
        <w:jc w:val="center"/>
      </w:pPr>
      <w:r>
        <w:rPr>
          <w:rFonts w:ascii="Georgia" w:cs="Georgia" w:eastAsia="Georgia" w:hAnsi="Georgia"/>
          <w:b/>
          <w:bCs/>
          <w:color w:val="B08D3D"/>
          <w:sz w:val="24"/>
          <w:szCs w:val="24"/>
        </w:rPr>
        <w:t xml:space="preserve">ADEX 547</w:t>
      </w:r>
    </w:p>
    <w:p>
      <w:pPr>
        <w:spacing w:after="100" w:before="80"/>
        <w:jc w:val="center"/>
      </w:pPr>
      <w:r>
        <w:rPr>
          <w:rFonts w:ascii="Calibri" w:cs="Calibri" w:eastAsia="Calibri" w:hAnsi="Calibri"/>
          <w:color w:val="5A5A5A"/>
          <w:sz w:val="20"/>
          <w:szCs w:val="20"/>
        </w:rPr>
        <w:t xml:space="preserve">Corporate Strategy, Portfolio and Investment Leadership</w:t>
      </w:r>
    </w:p>
    <w:p>
      <w:pPr>
        <w:pBdr>
          <w:top w:val="single" w:color="B08D3D" w:sz="4" w:space="6"/>
          <w:bottom w:val="single" w:color="B08D3D" w:sz="4" w:space="6"/>
        </w:pBdr>
        <w:spacing w:after="60" w:before="120"/>
      </w:pPr>
      <w:r>
        <w:rPr>
          <w:rFonts w:ascii="Georgia" w:cs="Georgia" w:eastAsia="Georgia" w:hAnsi="Georgia"/>
          <w:b/>
          <w:bCs/>
          <w:color w:val="0B1E39"/>
          <w:sz w:val="26"/>
          <w:szCs w:val="26"/>
        </w:rPr>
        <w:t xml:space="preserve">SESSION 2 STUDY GUIDE</w:t>
      </w:r>
    </w:p>
    <w:p>
      <w:pPr>
        <w:spacing w:after="60"/>
      </w:pPr>
      <w:r>
        <w:rPr>
          <w:rFonts w:ascii="Georgia" w:cs="Georgia" w:eastAsia="Georgia" w:hAnsi="Georgia"/>
          <w:b/>
          <w:bCs/>
          <w:color w:val="13294B"/>
          <w:sz w:val="24"/>
          <w:szCs w:val="24"/>
        </w:rPr>
        <w:t xml:space="preserve">Executive Dialogue I — Capital Allocation, M&amp;A Governance and Board Accountability</w:t>
      </w:r>
    </w:p>
    <w:p>
      <w:pPr>
        <w:spacing w:after="260"/>
      </w:pPr>
      <w:r>
        <w:rPr>
          <w:rFonts w:ascii="Calibri" w:cs="Calibri" w:eastAsia="Calibri" w:hAnsi="Calibri"/>
          <w:i/>
          <w:iCs/>
          <w:color w:val="5A5A5A"/>
          <w:sz w:val="20"/>
          <w:szCs w:val="20"/>
        </w:rPr>
        <w:t xml:space="preserve">Format: Face-to-face (mandatory — Guest Senior Executive)</w:t>
      </w: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1. What to Read Before This Session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This reader puts Session 1's analytical foundations under the discipline of governance. Read it before class with the same company in mind, ideally one that has made, or is contemplating, a major investment or acquisition.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Week 2 Reading Coursepack — “Capital Allocation, M&amp;A Governance and Board Accountability” (Session 2 Reader).</w:t>
      </w:r>
    </w:p>
    <w:p>
      <w:pPr>
        <w:spacing w:after="140" w:before="40"/>
      </w:pPr>
      <w:r>
        <w:rPr>
          <w:rFonts w:ascii="Calibri" w:cs="Calibri" w:eastAsia="Calibri" w:hAnsi="Calibri"/>
          <w:i/>
          <w:iCs/>
          <w:color w:val="5A5A5A"/>
          <w:sz w:val="20"/>
          <w:szCs w:val="20"/>
        </w:rPr>
        <w:t xml:space="preserve">Key sections to focus on: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Part I — The governance of capital allocation: decision management vs. decision control, delegation of authority, the internal capital market's dark side.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Part II — Mergers and acquisitions as a governance problem: the M&amp;A track record, the winner's curse, the synergy trap, valuation governance, special committees.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Part III — Board accountability and fiduciary duty: care, loyalty and good faith; the business judgment rule; Unocal and Revlon; related-party transactions and the controlling shareholder.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Part IV — Disclosure, materiality and the market: the timing dilemma, selective disclosure, signalling through buybacks and dividends.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Part V — The investment committee in practice: the anatomy of a decision memo, escalation and groupthink, the outside view, the post-investment review.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Relevant Chapters from the Reference Book List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Do not read these books cover to cover — relevant chapters only.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Hitt, Ireland &amp; Hoskisson, Strategic Management: Competitiveness and Globalization — relevant chapter(s) only.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Baghai, Coley &amp; White, The Alchemy of Growth — relevant chapter(s) only.</w:t>
      </w: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2. What Will Happen in Class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Class Schedule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600"/>
        <w:gridCol w:w="1400"/>
        <w:gridCol w:w="4600"/>
      </w:tblGrid>
      <w:tr>
        <w:trPr>
          <w:tblHeader/>
        </w:trPr>
        <w:tc>
          <w:tcPr>
            <w:shd w:fill="0B1E3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#</w:t>
            </w:r>
          </w:p>
        </w:tc>
        <w:tc>
          <w:tcPr>
            <w:shd w:fill="0B1E3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Step</w:t>
            </w:r>
          </w:p>
        </w:tc>
        <w:tc>
          <w:tcPr>
            <w:shd w:fill="0B1E3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Time</w:t>
            </w:r>
          </w:p>
        </w:tc>
        <w:tc>
          <w:tcPr>
            <w:shd w:fill="0B1E3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Activity</w:t>
            </w:r>
          </w:p>
        </w:tc>
      </w:tr>
      <w:tr>
        <w:tc>
          <w:tcPr>
            <w:tcW w:type="dxa" w:w="7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Framing recap</w:t>
            </w:r>
          </w:p>
        </w:tc>
        <w:tc>
          <w:tcPr>
            <w:tcW w:type="dxa" w:w="14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~10 min</w:t>
            </w:r>
          </w:p>
        </w:tc>
        <w:tc>
          <w:tcPr>
            <w:tcW w:type="dxa" w:w="4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Session 1's portfolio diagnostic is connected to today's governance question: not where capital should go, but who decides, who ratifies, and who is held to account.</w:t>
            </w:r>
          </w:p>
        </w:tc>
      </w:tr>
      <w:tr>
        <w:tc>
          <w:tcPr>
            <w:tcW w:type="dxa" w:w="7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Guest executive presentation</w:t>
            </w:r>
          </w:p>
        </w:tc>
        <w:tc>
          <w:tcPr>
            <w:tcW w:type="dxa" w:w="14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~30 min</w:t>
            </w:r>
          </w:p>
        </w:tc>
        <w:tc>
          <w:tcPr>
            <w:tcW w:type="dxa" w:w="4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The guest executive presents a real corporate capital allocation or M&amp;A case from their own career, covering how the decision was proposed, screened, and approved, and the governance constraints that shaped it.</w:t>
            </w:r>
          </w:p>
        </w:tc>
      </w:tr>
      <w:tr>
        <w:tc>
          <w:tcPr>
            <w:tcW w:type="dxa" w:w="7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Q&amp;A on the guest case</w:t>
            </w:r>
          </w:p>
        </w:tc>
        <w:tc>
          <w:tcPr>
            <w:tcW w:type="dxa" w:w="14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~15 min</w:t>
            </w:r>
          </w:p>
        </w:tc>
        <w:tc>
          <w:tcPr>
            <w:tcW w:type="dxa" w:w="4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Open floor for direct questions to the guest executive on the case just presented.</w:t>
            </w:r>
          </w:p>
        </w:tc>
      </w:tr>
      <w:tr>
        <w:tc>
          <w:tcPr>
            <w:tcW w:type="dxa" w:w="7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Investment-committee simulation — team presentations</w:t>
            </w:r>
          </w:p>
        </w:tc>
        <w:tc>
          <w:tcPr>
            <w:tcW w:type="dxa" w:w="14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~45 min</w:t>
            </w:r>
          </w:p>
        </w:tc>
        <w:tc>
          <w:tcPr>
            <w:tcW w:type="dxa" w:w="4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Each team plays the role of management proposing an investment case for its assigned company; the guest executive and the session's panel play the investment committee. Presentations and questioning happen live, in class, during this block — not before the session. Each team's proposal is questioned directly on valuation assumptions, strategic fit, integration risk, and financing.</w:t>
            </w:r>
          </w:p>
        </w:tc>
      </w:tr>
      <w:tr>
        <w:tc>
          <w:tcPr>
            <w:tcW w:type="dxa" w:w="7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Guest executive feedback and debrief</w:t>
            </w:r>
          </w:p>
        </w:tc>
        <w:tc>
          <w:tcPr>
            <w:tcW w:type="dxa" w:w="14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~15 min</w:t>
            </w:r>
          </w:p>
        </w:tc>
        <w:tc>
          <w:tcPr>
            <w:tcW w:type="dxa" w:w="4600"/>
            <w:shd w:fill="FFFFFF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Structured, team-by-team feedback is given, focused on the quality of the governance process each team followed — not just whether the underlying business idea was good.</w:t>
            </w:r>
          </w:p>
        </w:tc>
      </w:tr>
      <w:tr>
        <w:tc>
          <w:tcPr>
            <w:tcW w:type="dxa" w:w="7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Wrap-up and bridge to GW2</w:t>
            </w:r>
          </w:p>
        </w:tc>
        <w:tc>
          <w:tcPr>
            <w:tcW w:type="dxa" w:w="14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B08D3D"/>
                <w:sz w:val="19"/>
                <w:szCs w:val="19"/>
              </w:rPr>
              <w:t xml:space="preserve">~5 min</w:t>
            </w:r>
          </w:p>
        </w:tc>
        <w:tc>
          <w:tcPr>
            <w:tcW w:type="dxa" w:w="4600"/>
            <w:shd w:fill="F5F1E8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How today's simulation feeds directly into GW2 is explained: your team must now argue the opposite side, building an activist investor's case against the very kind of decision you just defended.</w:t>
            </w:r>
          </w:p>
        </w:tc>
      </w:tr>
      <w:tr>
        <w:tc>
          <w:tcPr>
            <w:gridSpan w:val="2"/>
            <w:shd w:fill="13294B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  <w:tc>
          <w:tcPr>
            <w:gridSpan w:val="2"/>
            <w:shd w:fill="13294B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D9C48A"/>
                <w:sz w:val="19"/>
                <w:szCs w:val="19"/>
              </w:rPr>
              <w:t xml:space="preserve">2 hours (120 minutes), no breaks</w:t>
            </w:r>
          </w:p>
        </w:tc>
      </w:tr>
    </w:tbl>
    <w:p>
      <w:pPr>
        <w:spacing w:after="60" w:before="16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Step-by-Step Detail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1. Framing recap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(~10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Session 1's portfolio diagnostic is connected to today's governance question: not where capital should go, but who decides, who ratifies, and who is held to account.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2. Guest executive presentation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(~30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The guest executive presents a real corporate capital allocation or M&amp;A case from their own career, covering how the decision was proposed, screened, and approved, and the governance constraints that shaped it.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3. Q&amp;A on the guest case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(~15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Open floor for direct questions to the guest executive on the case just presented.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4. Investment-committee simulation — team presentations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(~45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Each team plays the role of management proposing an investment case for its assigned company; the guest executive and the session's panel play the investment committee. Presentations and questioning happen live, in class, during this block — not before the session. Each team's proposal is questioned directly on valuation assumptions, strategic fit, integration risk, and financing.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5. Guest executive feedback and debrief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(~15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Structured, team-by-team feedback is given, focused on the quality of the governance process each team followed — not just whether the underlying business idea was good.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13294B"/>
          <w:sz w:val="21"/>
          <w:szCs w:val="21"/>
        </w:rPr>
        <w:t xml:space="preserve">6. Wrap-up and bridge to GW2 </w:t>
      </w:r>
      <w:r>
        <w:rPr>
          <w:rFonts w:ascii="Calibri" w:cs="Calibri" w:eastAsia="Calibri" w:hAnsi="Calibri"/>
          <w:i/>
          <w:iCs/>
          <w:color w:val="B08D3D"/>
          <w:sz w:val="20"/>
          <w:szCs w:val="20"/>
        </w:rPr>
        <w:t xml:space="preserve">(~5 min)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. How today's simulation feeds directly into GW2 is explained: your team must now argue the opposite side, building an activist investor's case against the very kind of decision you just defended.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What Is Expected From the Guest Executive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Present a real corporate capital allocation or M&amp;A case from their own career.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Explain board approval dynamics and the governance constraints that shaped the decision.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Discuss how executive management and board committees interacted on that decision.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Reflect on disclosure timing, investor communication, and fiduciary exposure in the case presented.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Provide structured, team-by-team feedback on the investment committee simulation.</w:t>
      </w: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3. Previously Assigned Work Due This Session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700"/>
            <w:tcBorders>
              <w:top w:val="single" w:color="B08D3D" w:sz="4"/>
              <w:left w:val="single" w:color="B08D3D" w:sz="16"/>
              <w:bottom w:val="single" w:color="B08D3D" w:sz="4"/>
              <w:right w:val="single" w:color="B08D3D" w:sz="4"/>
            </w:tcBorders>
            <w:shd w:fill="F5F1E8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Georgia" w:cs="Georgia" w:eastAsia="Georgia" w:hAnsi="Georgia"/>
                <w:b/>
                <w:bCs/>
                <w:color w:val="0B1E39"/>
                <w:sz w:val="22"/>
                <w:szCs w:val="22"/>
              </w:rPr>
              <w:t xml:space="preserve">Investment Committee Simulation — assigned in Session 1 (not separately graded)</w:t>
            </w:r>
          </w:p>
          <w:p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This written proposal was assigned during Session 1, to be prepared before this session. The team plays management, proposing the case; the guest executive and the session's panel play the investment committee. The live presentation and questioning happen during this session's in-class block — see “What Will Happen in Class,” item 4. Bring the one- to two-page written proposal plus whatever supporting figures were gathered, ready to present and defend live.</w:t>
            </w:r>
          </w:p>
        </w:tc>
      </w:tr>
    </w:tbl>
    <w:p>
      <w:pPr>
        <w:spacing w:before="240"/>
      </w:pP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4. Assignment(s) Given This Session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700"/>
            <w:tcBorders>
              <w:top w:val="single" w:color="13294B" w:sz="4"/>
              <w:left w:val="single" w:color="13294B" w:sz="16"/>
              <w:bottom w:val="single" w:color="13294B" w:sz="4"/>
              <w:right w:val="single" w:color="13294B" w:sz="4"/>
            </w:tcBorders>
            <w:shd w:fill="F5F1E8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Georgia" w:cs="Georgia" w:eastAsia="Georgia" w:hAnsi="Georgia"/>
                <w:b/>
                <w:bCs/>
                <w:color w:val="0B1E39"/>
                <w:sz w:val="22"/>
                <w:szCs w:val="22"/>
              </w:rPr>
              <w:t xml:space="preserve">GW2 — Activist &amp; Capital Market Pressure Simulation</w:t>
            </w:r>
          </w:p>
          <w:p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Group Work, 15% of final grade. Due at the start of Session 4.</w:t>
            </w:r>
          </w:p>
        </w:tc>
      </w:tr>
    </w:tbl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Purpose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To build the strongest plausible case an activist investor would make against your assigned company's current portfolio and capital allocation choices, and to assess how the board should respond.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Scope and Expectations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The deliverable covers the activist's case AND the board's plausible response — a one-sided attack without a considered response does not meet the assignment's scope. Demands should be realistic for the company's actual size and ownership structure (e.g., a break-up demand is far less realistic against a tightly family-controlled holding than against a widely held company), not generic activist talking points.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Where to Find Information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Everything already gathered for GW1 (segment data, capex history) — this assignment builds directly on it.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Share price history vs. a sector index or peer companies (Borsa İstanbul data, Investing.com, Yahoo Finance) — needed to assess relative share-price performance, one of the strongest activist arguments.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Dividend and buyback history from annual reports and KAP disclosures — needed to assess payout ratio and cash accumulation.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News coverage of comparable activist campaigns (Turkish or international) — useful for benchmarking what demands are realistic, not for copying another company's specific case.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Analyst commentary or credit rating agency reports, if accessible, for an outside view of the company's perceived weaknesses.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How to Process What You Find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Build a short financial scorecard first: ROIC by segment vs. a hurdle rate or peer average, payout ratio vs. peers, and share price performance vs. the sector index over the last two to three years. Do this before drafting any demand.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Activist thesis: from the scorecard, identify two or three specific weaknesses an activist would target — for example, an underperforming segment, excess cash with a low payout ratio, a persistent conglomerate discount, or an entrenched governance structure.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Demand list: draft the concrete demands an activist would plausibly make — for example, divest a named segment, return capital via a buyback or special dividend, add independent directors, or split the company into separately listed entities.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Evidence pack: support each demand with the scorecard evidence, clearly separating verified fact (with a source) from your own interpretation or hypothesis.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Board response memo: before finalising your position, draft the board's strongest plausible counter-argument to each demand — accept, partially accept, or reject — using the reasoning a real board would use.</w:t>
      </w:r>
    </w:p>
    <w:p>
      <w:pPr>
        <w:pStyle w:val="ListParagraph"/>
        <w:numPr>
          <w:ilvl w:val="0"/>
          <w:numId w:val="2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Negotiation position: conclude with your team's recommended negotiation stance for the live governance simulation in Session 4 — what you would concede, what you would hold firm on, and why.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Expected Section Titles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The deliverable is expected to be organised under exactly these headings, in this order:</w:t>
      </w:r>
    </w:p>
    <w:p>
      <w:pPr>
        <w:spacing w:after="130"/>
      </w:pPr>
      <w:r>
        <w:rPr>
          <w:rFonts w:ascii="Calibri" w:cs="Calibri" w:eastAsia="Calibri" w:hAnsi="Calibri"/>
          <w:i/>
          <w:iCs/>
          <w:color w:val="13294B"/>
          <w:sz w:val="20"/>
          <w:szCs w:val="20"/>
        </w:rPr>
        <w:t xml:space="preserve">1. Activist Thesis   →   2. Demand List   →   3. Evidence Pack   →   4. Board Response Memo   →   5. Negotiation Position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Format and Length</w:t>
      </w:r>
    </w:p>
    <w:p>
      <w:pPr>
        <w:spacing w:after="13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Maximum 10 pages (working target 4–6 pages), excluding the evidence table if attached separately. Single PDF or Word document, one submission per team. Every factual claim used to support a demand or a board response must be cited to a source.</w:t>
      </w:r>
    </w:p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Delivery Details (Group Work)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300"/>
      </w:tblGrid>
      <w:tr>
        <w:tc>
          <w:tcPr>
            <w:tcW w:type="dxa" w:w="2400"/>
            <w:shd w:fill="0B1E3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Final Delivery</w:t>
            </w:r>
          </w:p>
        </w:tc>
        <w:tc>
          <w:tcPr>
            <w:tcW w:type="dxa" w:w="73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Start of Session 4.</w:t>
            </w:r>
          </w:p>
        </w:tc>
      </w:tr>
      <w:tr>
        <w:tc>
          <w:tcPr>
            <w:tcW w:type="dxa" w:w="2400"/>
            <w:shd w:fill="0B1E3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Delivery Format</w:t>
            </w:r>
          </w:p>
        </w:tc>
        <w:tc>
          <w:tcPr>
            <w:tcW w:type="dxa" w:w="73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Single PDF or Word document, one submission per team.</w:t>
            </w:r>
          </w:p>
        </w:tc>
      </w:tr>
    </w:tbl>
    <w:p>
      <w:pPr>
        <w:pStyle w:val="Heading2"/>
        <w:spacing w:after="150" w:before="300"/>
      </w:pPr>
      <w:r>
        <w:rPr>
          <w:rFonts w:ascii="Georgia" w:cs="Georgia" w:eastAsia="Georgia" w:hAnsi="Georgia"/>
          <w:b/>
          <w:bCs/>
          <w:color w:val="13294B"/>
          <w:sz w:val="23"/>
          <w:szCs w:val="23"/>
        </w:rPr>
        <w:t xml:space="preserve">How This Will Be Graded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500"/>
      </w:tblGrid>
      <w:tr>
        <w:tc>
          <w:tcPr>
            <w:tcW w:type="dxa" w:w="6200"/>
            <w:shd w:fill="0B1E3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Criterion</w:t>
            </w:r>
          </w:p>
        </w:tc>
        <w:tc>
          <w:tcPr>
            <w:tcW w:type="dxa" w:w="3500"/>
            <w:shd w:fill="0B1E39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Weight within this grade</w:t>
            </w:r>
          </w:p>
        </w:tc>
      </w:tr>
      <w:tr>
        <w:tc>
          <w:tcPr>
            <w:tcW w:type="dxa" w:w="62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Strength and realism of the activist thesis and demands</w:t>
            </w:r>
          </w:p>
        </w:tc>
        <w:tc>
          <w:tcPr>
            <w:tcW w:type="dxa" w:w="35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30%</w:t>
            </w:r>
          </w:p>
        </w:tc>
      </w:tr>
      <w:tr>
        <w:tc>
          <w:tcPr>
            <w:tcW w:type="dxa" w:w="6200"/>
            <w:shd w:fill="F5F1E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Evidence quality and sourcing</w:t>
            </w:r>
          </w:p>
        </w:tc>
        <w:tc>
          <w:tcPr>
            <w:tcW w:type="dxa" w:w="3500"/>
            <w:shd w:fill="F5F1E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25%</w:t>
            </w:r>
          </w:p>
        </w:tc>
      </w:tr>
      <w:tr>
        <w:tc>
          <w:tcPr>
            <w:tcW w:type="dxa" w:w="62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Quality of the board response memo (realistic counter-arguments)</w:t>
            </w:r>
          </w:p>
        </w:tc>
        <w:tc>
          <w:tcPr>
            <w:tcW w:type="dxa" w:w="3500"/>
            <w:shd w:fill="FFFFFF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25%</w:t>
            </w:r>
          </w:p>
        </w:tc>
      </w:tr>
      <w:tr>
        <w:tc>
          <w:tcPr>
            <w:tcW w:type="dxa" w:w="6200"/>
            <w:shd w:fill="F5F1E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Structure, clarity, and adherence to expected section titles</w:t>
            </w:r>
          </w:p>
        </w:tc>
        <w:tc>
          <w:tcPr>
            <w:tcW w:type="dxa" w:w="3500"/>
            <w:shd w:fill="F5F1E8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3294B"/>
                <w:sz w:val="20"/>
                <w:szCs w:val="20"/>
              </w:rPr>
              <w:t xml:space="preserve">20%</w:t>
            </w:r>
          </w:p>
        </w:tc>
      </w:tr>
    </w:tbl>
    <w:p>
      <w:pPr>
        <w:spacing w:before="260"/>
      </w:pPr>
    </w:p>
    <w:p>
      <w:pPr>
        <w:pStyle w:val="Heading1"/>
        <w:pBdr>
          <w:bottom w:val="single" w:color="B08D3D" w:sz="6" w:space="4"/>
        </w:pBdr>
        <w:spacing w:after="150" w:before="300"/>
      </w:pPr>
      <w:r>
        <w:rPr>
          <w:rFonts w:ascii="Georgia" w:cs="Georgia" w:eastAsia="Georgia" w:hAnsi="Georgia"/>
          <w:b/>
          <w:bCs/>
          <w:color w:val="0B1E39"/>
          <w:sz w:val="28"/>
          <w:szCs w:val="28"/>
        </w:rPr>
        <w:t xml:space="preserve">5. What Is Expected From You</w:t>
      </w:r>
    </w:p>
    <w:p>
      <w:pPr>
        <w:pStyle w:val="ListParagraph"/>
        <w:numPr>
          <w:ilvl w:val="0"/>
          <w:numId w:val="3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Read the Session 2 reader in full before class — the guest executive discussion assumes this foundation.</w:t>
      </w:r>
    </w:p>
    <w:p>
      <w:pPr>
        <w:pStyle w:val="ListParagraph"/>
        <w:numPr>
          <w:ilvl w:val="0"/>
          <w:numId w:val="3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Come prepared to present and defend your investment-committee case out loud; you will be questioned directly, as a real board would question you.</w:t>
      </w:r>
    </w:p>
    <w:p>
      <w:pPr>
        <w:pStyle w:val="ListParagraph"/>
        <w:numPr>
          <w:ilvl w:val="0"/>
          <w:numId w:val="3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Continue refining your team's GW1 diagnostic in parallel — it is due at the start of Session 3.</w:t>
      </w:r>
    </w:p>
    <w:p>
      <w:pPr>
        <w:pStyle w:val="ListParagraph"/>
        <w:numPr>
          <w:ilvl w:val="0"/>
          <w:numId w:val="3"/>
        </w:numPr>
        <w:spacing w:after="11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Treat being challenged by the guest executive as the valuable part of the session, not something to be defensive about.</w:t>
      </w:r>
    </w:p>
    <w:sectPr>
      <w:headerReference w:type="default" r:id="rId7"/>
      <w:footerReference w:type="default" r:id="rId8"/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5A5A"/>
        <w:sz w:val="16"/>
        <w:szCs w:val="16"/>
      </w:rPr>
      <w:t xml:space="preserve">Page </w:t>
    </w:r>
    <w:r>
      <w:rPr>
        <w:rFonts w:ascii="Calibri" w:cs="Calibri" w:eastAsia="Calibri" w:hAnsi="Calibri"/>
        <w:color w:val="5A5A5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A5A5A"/>
        <w:sz w:val="16"/>
        <w:szCs w:val="16"/>
      </w:rPr>
      <w:t xml:space="preserve"> of </w:t>
    </w:r>
    <w:r>
      <w:rPr>
        <w:rFonts w:ascii="Calibri" w:cs="Calibri" w:eastAsia="Calibri" w:hAnsi="Calibri"/>
        <w:color w:val="5A5A5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C48A" w:sz="4" w:space="4"/>
      </w:pBdr>
      <w:jc w:val="right"/>
    </w:pPr>
    <w:r>
      <w:rPr>
        <w:rFonts w:ascii="Calibri" w:cs="Calibri" w:eastAsia="Calibri" w:hAnsi="Calibri"/>
        <w:color w:val="5A5A5A"/>
        <w:sz w:val="16"/>
        <w:szCs w:val="16"/>
      </w:rPr>
      <w:t xml:space="preserve">ADEX 547 · Session Study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2026-07-15T20:01:42.616Z</dcterms:created>
  <dcterms:modified xsi:type="dcterms:W3CDTF">2026-07-15T20:01:42.616Z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