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00"/>
        <w:jc w:val="center"/>
      </w:pPr>
      <w:r>
        <w:rPr>
          <w:rFonts w:ascii="Georgia" w:cs="Georgia" w:eastAsia="Georgia" w:hAnsi="Georgia"/>
          <w:b/>
          <w:bCs/>
          <w:color w:val="B08D3D"/>
          <w:sz w:val="24"/>
          <w:szCs w:val="24"/>
        </w:rPr>
        <w:t xml:space="preserve">ADEX 547</w:t>
      </w:r>
    </w:p>
    <w:p>
      <w:pPr>
        <w:spacing w:after="100" w:before="80"/>
        <w:jc w:val="center"/>
      </w:pPr>
      <w:r>
        <w:rPr>
          <w:rFonts w:ascii="Calibri" w:cs="Calibri" w:eastAsia="Calibri" w:hAnsi="Calibri"/>
          <w:color w:val="5A5A5A"/>
          <w:sz w:val="20"/>
          <w:szCs w:val="20"/>
        </w:rPr>
        <w:t xml:space="preserve">Corporate Strategy, Portfolio and Investment Leadership</w:t>
      </w:r>
    </w:p>
    <w:p>
      <w:pPr>
        <w:pBdr>
          <w:top w:val="single" w:color="B08D3D" w:sz="4" w:space="6"/>
          <w:bottom w:val="single" w:color="B08D3D" w:sz="4" w:space="6"/>
        </w:pBdr>
        <w:spacing w:after="60" w:before="120"/>
      </w:pPr>
      <w:r>
        <w:rPr>
          <w:rFonts w:ascii="Georgia" w:cs="Georgia" w:eastAsia="Georgia" w:hAnsi="Georgia"/>
          <w:b/>
          <w:bCs/>
          <w:color w:val="0B1E39"/>
          <w:sz w:val="26"/>
          <w:szCs w:val="26"/>
        </w:rPr>
        <w:t xml:space="preserve">SESSION 1 STUDY GUIDE</w:t>
      </w:r>
    </w:p>
    <w:p>
      <w:pPr>
        <w:spacing w:after="60"/>
      </w:pPr>
      <w:r>
        <w:rPr>
          <w:rFonts w:ascii="Georgia" w:cs="Georgia" w:eastAsia="Georgia" w:hAnsi="Georgia"/>
          <w:b/>
          <w:bCs/>
          <w:color w:val="13294B"/>
          <w:sz w:val="24"/>
          <w:szCs w:val="24"/>
        </w:rPr>
        <w:t xml:space="preserve">Corporate Strategy and Investment Foundations</w:t>
      </w:r>
    </w:p>
    <w:p>
      <w:pPr>
        <w:spacing w:after="260"/>
      </w:pPr>
      <w:r>
        <w:rPr>
          <w:rFonts w:ascii="Calibri" w:cs="Calibri" w:eastAsia="Calibri" w:hAnsi="Calibri"/>
          <w:i/>
          <w:iCs/>
          <w:color w:val="5A5A5A"/>
          <w:sz w:val="20"/>
          <w:szCs w:val="20"/>
        </w:rPr>
        <w:t xml:space="preserve">Format: Face-to-face</w:t>
      </w:r>
    </w:p>
    <w:p>
      <w:pPr>
        <w:pStyle w:val="Heading1"/>
        <w:pBdr>
          <w:bottom w:val="single" w:color="B08D3D" w:sz="6" w:space="4"/>
        </w:pBdr>
        <w:spacing w:after="150" w:before="300"/>
      </w:pPr>
      <w:r>
        <w:rPr>
          <w:rFonts w:ascii="Georgia" w:cs="Georgia" w:eastAsia="Georgia" w:hAnsi="Georgia"/>
          <w:b/>
          <w:bCs/>
          <w:color w:val="0B1E39"/>
          <w:sz w:val="28"/>
          <w:szCs w:val="28"/>
        </w:rPr>
        <w:t xml:space="preserve">1. What to Read Before This Session</w:t>
      </w:r>
    </w:p>
    <w:p>
      <w:pPr>
        <w:spacing w:after="130"/>
      </w:pPr>
      <w:r>
        <w:rPr>
          <w:rFonts w:ascii="Calibri" w:cs="Calibri" w:eastAsia="Calibri" w:hAnsi="Calibri"/>
          <w:color w:val="1A1A1A"/>
          <w:sz w:val="21"/>
          <w:szCs w:val="21"/>
        </w:rPr>
        <w:t xml:space="preserve">This is the foundational reader for the course. Read it before class, slowly, with one publicly listed multi-business company in mind — ideally the company your team will analyse all term.</w:t>
      </w:r>
    </w:p>
    <w:p>
      <w:pPr>
        <w:spacing w:after="130"/>
      </w:pPr>
      <w:r>
        <w:rPr>
          <w:rFonts w:ascii="Calibri" w:cs="Calibri" w:eastAsia="Calibri" w:hAnsi="Calibri"/>
          <w:b/>
          <w:bCs/>
          <w:color w:val="1A1A1A"/>
          <w:sz w:val="21"/>
          <w:szCs w:val="21"/>
        </w:rPr>
        <w:t xml:space="preserve">Week 1 Reading Coursepack — “Corporate Strategy and Investment Foundations” (Session 1 Reader).</w:t>
      </w:r>
    </w:p>
    <w:p>
      <w:pPr>
        <w:spacing w:after="140" w:before="40"/>
      </w:pPr>
      <w:r>
        <w:rPr>
          <w:rFonts w:ascii="Calibri" w:cs="Calibri" w:eastAsia="Calibri" w:hAnsi="Calibri"/>
          <w:i/>
          <w:iCs/>
          <w:color w:val="5A5A5A"/>
          <w:sz w:val="20"/>
          <w:szCs w:val="20"/>
        </w:rPr>
        <w:t xml:space="preserve">Key sections to focus on:</w:t>
      </w:r>
    </w:p>
    <w:p>
      <w:pPr>
        <w:pStyle w:val="ListParagraph"/>
        <w:numPr>
          <w:ilvl w:val="0"/>
          <w:numId w:val="1"/>
        </w:numPr>
        <w:spacing w:after="90"/>
      </w:pPr>
      <w:r>
        <w:rPr>
          <w:rFonts w:ascii="Calibri" w:cs="Calibri" w:eastAsia="Calibri" w:hAnsi="Calibri"/>
          <w:color w:val="1A1A1A"/>
          <w:sz w:val="21"/>
          <w:szCs w:val="21"/>
        </w:rPr>
        <w:t xml:space="preserve">Part I — Why corporate strategy is a different problem: business vs. corporate strategy, parenting advantage, the diversification discount, Porter's three tests.</w:t>
      </w:r>
    </w:p>
    <w:p>
      <w:pPr>
        <w:pStyle w:val="ListParagraph"/>
        <w:numPr>
          <w:ilvl w:val="0"/>
          <w:numId w:val="1"/>
        </w:numPr>
        <w:spacing w:after="90"/>
      </w:pPr>
      <w:r>
        <w:rPr>
          <w:rFonts w:ascii="Calibri" w:cs="Calibri" w:eastAsia="Calibri" w:hAnsi="Calibri"/>
          <w:color w:val="1A1A1A"/>
          <w:sz w:val="21"/>
          <w:szCs w:val="21"/>
        </w:rPr>
        <w:t xml:space="preserve">Part II — Where value comes from: economies of scope, core competence, the resource-based view (VRIO), transaction cost economics.</w:t>
      </w:r>
    </w:p>
    <w:p>
      <w:pPr>
        <w:pStyle w:val="ListParagraph"/>
        <w:numPr>
          <w:ilvl w:val="0"/>
          <w:numId w:val="1"/>
        </w:numPr>
        <w:spacing w:after="90"/>
      </w:pPr>
      <w:r>
        <w:rPr>
          <w:rFonts w:ascii="Calibri" w:cs="Calibri" w:eastAsia="Calibri" w:hAnsi="Calibri"/>
          <w:color w:val="1A1A1A"/>
          <w:sz w:val="21"/>
          <w:szCs w:val="21"/>
        </w:rPr>
        <w:t xml:space="preserve">Part III — Capital allocation as the central discipline: the CEO as capital allocator, free cash flow and the agency problem, cost of capital (CAPM/WACC), DCF, internal capital markets.</w:t>
      </w:r>
    </w:p>
    <w:p>
      <w:pPr>
        <w:pStyle w:val="ListParagraph"/>
        <w:numPr>
          <w:ilvl w:val="0"/>
          <w:numId w:val="1"/>
        </w:numPr>
        <w:spacing w:after="90"/>
      </w:pPr>
      <w:r>
        <w:rPr>
          <w:rFonts w:ascii="Calibri" w:cs="Calibri" w:eastAsia="Calibri" w:hAnsi="Calibri"/>
          <w:color w:val="1A1A1A"/>
          <w:sz w:val="21"/>
          <w:szCs w:val="21"/>
        </w:rPr>
        <w:t xml:space="preserve">Part IV — Configuring the portfolio: the growth-share matrix, the GE–McKinsey screen, related vs. unrelated diversification, real options.</w:t>
      </w:r>
    </w:p>
    <w:p>
      <w:pPr>
        <w:pStyle w:val="ListParagraph"/>
        <w:numPr>
          <w:ilvl w:val="0"/>
          <w:numId w:val="1"/>
        </w:numPr>
        <w:spacing w:after="90"/>
      </w:pPr>
      <w:r>
        <w:rPr>
          <w:rFonts w:ascii="Calibri" w:cs="Calibri" w:eastAsia="Calibri" w:hAnsi="Calibri"/>
          <w:color w:val="1A1A1A"/>
          <w:sz w:val="21"/>
          <w:szCs w:val="21"/>
        </w:rPr>
        <w:t xml:space="preserve">Part V — Structure, governance and the bridge: agency theory, upper echelons, the synthesis chapter that sets up the whole course's throughline.</w:t>
      </w:r>
    </w:p>
    <w:p>
      <w:pPr>
        <w:pStyle w:val="Heading2"/>
        <w:spacing w:after="150" w:before="300"/>
      </w:pPr>
      <w:r>
        <w:rPr>
          <w:rFonts w:ascii="Georgia" w:cs="Georgia" w:eastAsia="Georgia" w:hAnsi="Georgia"/>
          <w:b/>
          <w:bCs/>
          <w:color w:val="13294B"/>
          <w:sz w:val="23"/>
          <w:szCs w:val="23"/>
        </w:rPr>
        <w:t xml:space="preserve">Relevant Chapters from the Reference Book List</w:t>
      </w:r>
    </w:p>
    <w:p>
      <w:pPr>
        <w:spacing w:after="130"/>
      </w:pPr>
      <w:r>
        <w:rPr>
          <w:rFonts w:ascii="Calibri" w:cs="Calibri" w:eastAsia="Calibri" w:hAnsi="Calibri"/>
          <w:color w:val="1A1A1A"/>
          <w:sz w:val="21"/>
          <w:szCs w:val="21"/>
        </w:rPr>
        <w:t xml:space="preserve">Do not read these books cover to cover — relevant chapters only.</w:t>
      </w:r>
    </w:p>
    <w:p>
      <w:pPr>
        <w:pStyle w:val="ListParagraph"/>
        <w:numPr>
          <w:ilvl w:val="0"/>
          <w:numId w:val="1"/>
        </w:numPr>
        <w:spacing w:after="90"/>
      </w:pPr>
      <w:r>
        <w:rPr>
          <w:rFonts w:ascii="Calibri" w:cs="Calibri" w:eastAsia="Calibri" w:hAnsi="Calibri"/>
          <w:color w:val="1A1A1A"/>
          <w:sz w:val="21"/>
          <w:szCs w:val="21"/>
        </w:rPr>
        <w:t xml:space="preserve">Hitt, Ireland &amp; Hoskisson, Strategic Management: Competitiveness and Globalization — relevant chapter(s) only.</w:t>
      </w:r>
    </w:p>
    <w:p>
      <w:pPr>
        <w:pStyle w:val="ListParagraph"/>
        <w:numPr>
          <w:ilvl w:val="0"/>
          <w:numId w:val="1"/>
        </w:numPr>
        <w:spacing w:after="90"/>
      </w:pPr>
      <w:r>
        <w:rPr>
          <w:rFonts w:ascii="Calibri" w:cs="Calibri" w:eastAsia="Calibri" w:hAnsi="Calibri"/>
          <w:color w:val="1A1A1A"/>
          <w:sz w:val="21"/>
          <w:szCs w:val="21"/>
        </w:rPr>
        <w:t xml:space="preserve">Baghai, Coley &amp; White, The Alchemy of Growth — relevant chapter(s) only.</w:t>
      </w:r>
    </w:p>
    <w:p>
      <w:pPr>
        <w:pStyle w:val="Heading1"/>
        <w:pBdr>
          <w:bottom w:val="single" w:color="B08D3D" w:sz="6" w:space="4"/>
        </w:pBdr>
        <w:spacing w:after="150" w:before="300"/>
      </w:pPr>
      <w:r>
        <w:rPr>
          <w:rFonts w:ascii="Georgia" w:cs="Georgia" w:eastAsia="Georgia" w:hAnsi="Georgia"/>
          <w:b/>
          <w:bCs/>
          <w:color w:val="0B1E39"/>
          <w:sz w:val="28"/>
          <w:szCs w:val="28"/>
        </w:rPr>
        <w:t xml:space="preserve">2. What Will Happen in Class</w:t>
      </w:r>
    </w:p>
    <w:p>
      <w:pPr>
        <w:spacing w:after="130"/>
      </w:pPr>
      <w:r>
        <w:rPr>
          <w:rFonts w:ascii="Calibri" w:cs="Calibri" w:eastAsia="Calibri" w:hAnsi="Calibri"/>
          <w:b/>
          <w:bCs/>
          <w:color w:val="1A1A1A"/>
          <w:sz w:val="21"/>
          <w:szCs w:val="21"/>
        </w:rPr>
        <w:t xml:space="preserve">Class Schedule</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1400"/>
        <w:gridCol w:w="4600"/>
      </w:tblGrid>
      <w:tr>
        <w:trPr>
          <w:tblHeader/>
        </w:trPr>
        <w:tc>
          <w:tcPr>
            <w:shd w:fill="0B1E39"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w:t>
            </w:r>
          </w:p>
        </w:tc>
        <w:tc>
          <w:tcPr>
            <w:shd w:fill="0B1E39" w:val="clear"/>
            <w:tcMar>
              <w:top w:type="dxa" w:w="90"/>
              <w:left w:type="dxa" w:w="120"/>
              <w:bottom w:type="dxa" w:w="90"/>
              <w:right w:type="dxa" w:w="120"/>
            </w:tcMar>
          </w:tcPr>
          <w:p>
            <w:pPr>
              <w:jc w:val="left"/>
            </w:pPr>
            <w:r>
              <w:rPr>
                <w:rFonts w:ascii="Calibri" w:cs="Calibri" w:eastAsia="Calibri" w:hAnsi="Calibri"/>
                <w:b/>
                <w:bCs/>
                <w:color w:val="FFFFFF"/>
                <w:sz w:val="19"/>
                <w:szCs w:val="19"/>
              </w:rPr>
              <w:t xml:space="preserve">Step</w:t>
            </w:r>
          </w:p>
        </w:tc>
        <w:tc>
          <w:tcPr>
            <w:shd w:fill="0B1E39"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Time</w:t>
            </w:r>
          </w:p>
        </w:tc>
        <w:tc>
          <w:tcPr>
            <w:shd w:fill="0B1E39" w:val="clear"/>
            <w:tcMar>
              <w:top w:type="dxa" w:w="90"/>
              <w:left w:type="dxa" w:w="120"/>
              <w:bottom w:type="dxa" w:w="90"/>
              <w:right w:type="dxa" w:w="120"/>
            </w:tcMar>
          </w:tcPr>
          <w:p>
            <w:pPr>
              <w:jc w:val="left"/>
            </w:pPr>
            <w:r>
              <w:rPr>
                <w:rFonts w:ascii="Calibri" w:cs="Calibri" w:eastAsia="Calibri" w:hAnsi="Calibri"/>
                <w:b/>
                <w:bCs/>
                <w:color w:val="FFFFFF"/>
                <w:sz w:val="19"/>
                <w:szCs w:val="19"/>
              </w:rPr>
              <w:t xml:space="preserve">Activity</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1</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Opening framing</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The session opens with its central question posed — “is this company's portfolio worth more together or apart?” — and how the parenting-advantage test will structure today's exercise is explained.</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2</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Team company mapping</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~25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In your assigned team, list every major business segment or subsidiary of your case-study company on a whiteboard or shared document, with a one-line description of what each does and, where known, its approximate share of group revenue.</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3</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Growth-share matrix plotting</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~20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For each business unit identified above, the team estimates (a) its relative market share and (b) its market's growth rate, and plots it on a growth-share matrix as a star, cash cow, question mark, or dog. Where exact data is unavailable, a reasoned estimate is used and clearly flagged as such.</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4</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Parenting-advantage test application</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~20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For each business unit, the team works through Porter's three tests (the attractiveness test, the cost-of-entry test, the better-off test) and asks the parenting-fit question: is this company's corporate centre actually the best owner of this business, or would it be worth more under different ownership?</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5</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Capital allocation discussion</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~20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The team discusses, based on whatever public information is available, where the company's capital appears to have gone in recent years (capex, acquisitions, disposals, dividends/buybacks) and whether that pattern matches what the parenting-advantage analysis just suggested it should be.</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6</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Cross-team share-out</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~15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Each team presents one preliminary finding to the room in two or three sentences; immediate, brief feedback is given on the quality of the reasoning presented, not on the conclusion itself.</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7</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Wrap-up and bridge to GW1</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How today's raw whiteboard output becomes the structured written GW1 diagnostic is explained, and logistics questions about the assignment are addressed.</w:t>
            </w:r>
          </w:p>
        </w:tc>
      </w:tr>
      <w:tr>
        <w:tc>
          <w:tcPr>
            <w:gridSpan w:val="2"/>
            <w:shd w:fill="13294B" w:val="clear"/>
            <w:tcMar>
              <w:top w:type="dxa" w:w="90"/>
              <w:left w:type="dxa" w:w="120"/>
              <w:bottom w:type="dxa" w:w="90"/>
              <w:right w:type="dxa" w:w="120"/>
            </w:tcMar>
          </w:tcPr>
          <w:p>
            <w:r>
              <w:rPr>
                <w:rFonts w:ascii="Calibri" w:cs="Calibri" w:eastAsia="Calibri" w:hAnsi="Calibri"/>
                <w:b/>
                <w:bCs/>
                <w:color w:val="FFFFFF"/>
                <w:sz w:val="19"/>
                <w:szCs w:val="19"/>
              </w:rPr>
              <w:t xml:space="preserve">Total</w:t>
            </w:r>
          </w:p>
        </w:tc>
        <w:tc>
          <w:tcPr>
            <w:gridSpan w:val="2"/>
            <w:shd w:fill="13294B" w:val="clear"/>
            <w:tcMar>
              <w:top w:type="dxa" w:w="90"/>
              <w:left w:type="dxa" w:w="120"/>
              <w:bottom w:type="dxa" w:w="90"/>
              <w:right w:type="dxa" w:w="120"/>
            </w:tcMar>
          </w:tcPr>
          <w:p>
            <w:r>
              <w:rPr>
                <w:rFonts w:ascii="Calibri" w:cs="Calibri" w:eastAsia="Calibri" w:hAnsi="Calibri"/>
                <w:b/>
                <w:bCs/>
                <w:color w:val="D9C48A"/>
                <w:sz w:val="19"/>
                <w:szCs w:val="19"/>
              </w:rPr>
              <w:t xml:space="preserve">2 hours (120 minutes), no breaks</w:t>
            </w:r>
          </w:p>
        </w:tc>
      </w:tr>
    </w:tbl>
    <w:p>
      <w:pPr>
        <w:spacing w:after="60" w:before="160"/>
      </w:pPr>
      <w:r>
        <w:rPr>
          <w:rFonts w:ascii="Georgia" w:cs="Georgia" w:eastAsia="Georgia" w:hAnsi="Georgia"/>
          <w:b/>
          <w:bCs/>
          <w:color w:val="13294B"/>
          <w:sz w:val="23"/>
          <w:szCs w:val="23"/>
        </w:rPr>
        <w:t xml:space="preserve">Step-by-Step Detail</w:t>
      </w:r>
    </w:p>
    <w:p>
      <w:pPr>
        <w:spacing w:after="130"/>
      </w:pPr>
      <w:r>
        <w:rPr>
          <w:rFonts w:ascii="Calibri" w:cs="Calibri" w:eastAsia="Calibri" w:hAnsi="Calibri"/>
          <w:b/>
          <w:bCs/>
          <w:color w:val="13294B"/>
          <w:sz w:val="21"/>
          <w:szCs w:val="21"/>
        </w:rPr>
        <w:t xml:space="preserve">1. Opening framing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The session opens with its central question posed — “is this company's portfolio worth more together or apart?” — and how the parenting-advantage test will structure today's exercise is explained.</w:t>
      </w:r>
    </w:p>
    <w:p>
      <w:pPr>
        <w:spacing w:after="130"/>
      </w:pPr>
      <w:r>
        <w:rPr>
          <w:rFonts w:ascii="Calibri" w:cs="Calibri" w:eastAsia="Calibri" w:hAnsi="Calibri"/>
          <w:b/>
          <w:bCs/>
          <w:color w:val="13294B"/>
          <w:sz w:val="21"/>
          <w:szCs w:val="21"/>
        </w:rPr>
        <w:t xml:space="preserve">2. Team company mapping </w:t>
      </w:r>
      <w:r>
        <w:rPr>
          <w:rFonts w:ascii="Calibri" w:cs="Calibri" w:eastAsia="Calibri" w:hAnsi="Calibri"/>
          <w:i/>
          <w:iCs/>
          <w:color w:val="B08D3D"/>
          <w:sz w:val="20"/>
          <w:szCs w:val="20"/>
        </w:rPr>
        <w:t xml:space="preserve">(~25 min)</w:t>
      </w:r>
      <w:r>
        <w:rPr>
          <w:rFonts w:ascii="Calibri" w:cs="Calibri" w:eastAsia="Calibri" w:hAnsi="Calibri"/>
          <w:color w:val="1A1A1A"/>
          <w:sz w:val="21"/>
          <w:szCs w:val="21"/>
        </w:rPr>
        <w:t xml:space="preserve">. In your assigned team, list every major business segment or subsidiary of your case-study company on a whiteboard or shared document, with a one-line description of what each does and, where known, its approximate share of group revenue.</w:t>
      </w:r>
    </w:p>
    <w:p>
      <w:pPr>
        <w:spacing w:after="130"/>
      </w:pPr>
      <w:r>
        <w:rPr>
          <w:rFonts w:ascii="Calibri" w:cs="Calibri" w:eastAsia="Calibri" w:hAnsi="Calibri"/>
          <w:b/>
          <w:bCs/>
          <w:color w:val="13294B"/>
          <w:sz w:val="21"/>
          <w:szCs w:val="21"/>
        </w:rPr>
        <w:t xml:space="preserve">3. Growth-share matrix plotting </w:t>
      </w:r>
      <w:r>
        <w:rPr>
          <w:rFonts w:ascii="Calibri" w:cs="Calibri" w:eastAsia="Calibri" w:hAnsi="Calibri"/>
          <w:i/>
          <w:iCs/>
          <w:color w:val="B08D3D"/>
          <w:sz w:val="20"/>
          <w:szCs w:val="20"/>
        </w:rPr>
        <w:t xml:space="preserve">(~20 min)</w:t>
      </w:r>
      <w:r>
        <w:rPr>
          <w:rFonts w:ascii="Calibri" w:cs="Calibri" w:eastAsia="Calibri" w:hAnsi="Calibri"/>
          <w:color w:val="1A1A1A"/>
          <w:sz w:val="21"/>
          <w:szCs w:val="21"/>
        </w:rPr>
        <w:t xml:space="preserve">. For each business unit identified above, the team estimates (a) its relative market share and (b) its market's growth rate, and plots it on a growth-share matrix as a star, cash cow, question mark, or dog. Where exact data is unavailable, a reasoned estimate is used and clearly flagged as such.</w:t>
      </w:r>
    </w:p>
    <w:p>
      <w:pPr>
        <w:spacing w:after="130"/>
      </w:pPr>
      <w:r>
        <w:rPr>
          <w:rFonts w:ascii="Calibri" w:cs="Calibri" w:eastAsia="Calibri" w:hAnsi="Calibri"/>
          <w:b/>
          <w:bCs/>
          <w:color w:val="13294B"/>
          <w:sz w:val="21"/>
          <w:szCs w:val="21"/>
        </w:rPr>
        <w:t xml:space="preserve">4. Parenting-advantage test application </w:t>
      </w:r>
      <w:r>
        <w:rPr>
          <w:rFonts w:ascii="Calibri" w:cs="Calibri" w:eastAsia="Calibri" w:hAnsi="Calibri"/>
          <w:i/>
          <w:iCs/>
          <w:color w:val="B08D3D"/>
          <w:sz w:val="20"/>
          <w:szCs w:val="20"/>
        </w:rPr>
        <w:t xml:space="preserve">(~20 min)</w:t>
      </w:r>
      <w:r>
        <w:rPr>
          <w:rFonts w:ascii="Calibri" w:cs="Calibri" w:eastAsia="Calibri" w:hAnsi="Calibri"/>
          <w:color w:val="1A1A1A"/>
          <w:sz w:val="21"/>
          <w:szCs w:val="21"/>
        </w:rPr>
        <w:t xml:space="preserve">. For each business unit, the team works through Porter's three tests (the attractiveness test, the cost-of-entry test, the better-off test) and asks the parenting-fit question: is this company's corporate centre actually the best owner of this business, or would it be worth more under different ownership?</w:t>
      </w:r>
    </w:p>
    <w:p>
      <w:pPr>
        <w:spacing w:after="130"/>
      </w:pPr>
      <w:r>
        <w:rPr>
          <w:rFonts w:ascii="Calibri" w:cs="Calibri" w:eastAsia="Calibri" w:hAnsi="Calibri"/>
          <w:b/>
          <w:bCs/>
          <w:color w:val="13294B"/>
          <w:sz w:val="21"/>
          <w:szCs w:val="21"/>
        </w:rPr>
        <w:t xml:space="preserve">5. Capital allocation discussion </w:t>
      </w:r>
      <w:r>
        <w:rPr>
          <w:rFonts w:ascii="Calibri" w:cs="Calibri" w:eastAsia="Calibri" w:hAnsi="Calibri"/>
          <w:i/>
          <w:iCs/>
          <w:color w:val="B08D3D"/>
          <w:sz w:val="20"/>
          <w:szCs w:val="20"/>
        </w:rPr>
        <w:t xml:space="preserve">(~20 min)</w:t>
      </w:r>
      <w:r>
        <w:rPr>
          <w:rFonts w:ascii="Calibri" w:cs="Calibri" w:eastAsia="Calibri" w:hAnsi="Calibri"/>
          <w:color w:val="1A1A1A"/>
          <w:sz w:val="21"/>
          <w:szCs w:val="21"/>
        </w:rPr>
        <w:t xml:space="preserve">. The team discusses, based on whatever public information is available, where the company's capital appears to have gone in recent years (capex, acquisitions, disposals, dividends/buybacks) and whether that pattern matches what the parenting-advantage analysis just suggested it should be.</w:t>
      </w:r>
    </w:p>
    <w:p>
      <w:pPr>
        <w:spacing w:after="130"/>
      </w:pPr>
      <w:r>
        <w:rPr>
          <w:rFonts w:ascii="Calibri" w:cs="Calibri" w:eastAsia="Calibri" w:hAnsi="Calibri"/>
          <w:b/>
          <w:bCs/>
          <w:color w:val="13294B"/>
          <w:sz w:val="21"/>
          <w:szCs w:val="21"/>
        </w:rPr>
        <w:t xml:space="preserve">6. Cross-team share-out </w:t>
      </w:r>
      <w:r>
        <w:rPr>
          <w:rFonts w:ascii="Calibri" w:cs="Calibri" w:eastAsia="Calibri" w:hAnsi="Calibri"/>
          <w:i/>
          <w:iCs/>
          <w:color w:val="B08D3D"/>
          <w:sz w:val="20"/>
          <w:szCs w:val="20"/>
        </w:rPr>
        <w:t xml:space="preserve">(~15 min)</w:t>
      </w:r>
      <w:r>
        <w:rPr>
          <w:rFonts w:ascii="Calibri" w:cs="Calibri" w:eastAsia="Calibri" w:hAnsi="Calibri"/>
          <w:color w:val="1A1A1A"/>
          <w:sz w:val="21"/>
          <w:szCs w:val="21"/>
        </w:rPr>
        <w:t xml:space="preserve">. Each team presents one preliminary finding to the room in two or three sentences; immediate, brief feedback is given on the quality of the reasoning presented, not on the conclusion itself.</w:t>
      </w:r>
    </w:p>
    <w:p>
      <w:pPr>
        <w:spacing w:after="130"/>
      </w:pPr>
      <w:r>
        <w:rPr>
          <w:rFonts w:ascii="Calibri" w:cs="Calibri" w:eastAsia="Calibri" w:hAnsi="Calibri"/>
          <w:b/>
          <w:bCs/>
          <w:color w:val="13294B"/>
          <w:sz w:val="21"/>
          <w:szCs w:val="21"/>
        </w:rPr>
        <w:t xml:space="preserve">7. Wrap-up and bridge to GW1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How today's raw whiteboard output becomes the structured written GW1 diagnostic is explained, and logistics questions about the assignment are addressed.</w:t>
      </w:r>
    </w:p>
    <w:p>
      <w:pPr>
        <w:pStyle w:val="Heading1"/>
        <w:pBdr>
          <w:bottom w:val="single" w:color="B08D3D" w:sz="6" w:space="4"/>
        </w:pBdr>
        <w:spacing w:after="150" w:before="300"/>
      </w:pPr>
      <w:r>
        <w:rPr>
          <w:rFonts w:ascii="Georgia" w:cs="Georgia" w:eastAsia="Georgia" w:hAnsi="Georgia"/>
          <w:b/>
          <w:bCs/>
          <w:color w:val="0B1E39"/>
          <w:sz w:val="28"/>
          <w:szCs w:val="28"/>
        </w:rPr>
        <w:t xml:space="preserve">3. Previously Assigned Work Due This Session</w:t>
      </w:r>
    </w:p>
    <w:p>
      <w:pPr>
        <w:spacing w:after="130"/>
      </w:pPr>
      <w:r>
        <w:rPr>
          <w:rFonts w:ascii="Calibri" w:cs="Calibri" w:eastAsia="Calibri" w:hAnsi="Calibri"/>
          <w:i/>
          <w:iCs/>
          <w:color w:val="5A5A5A"/>
          <w:sz w:val="21"/>
          <w:szCs w:val="21"/>
        </w:rPr>
        <w:t xml:space="preserve">None. This is the first session, so there is no prior assignment due.</w:t>
      </w:r>
    </w:p>
    <w:p>
      <w:pPr>
        <w:spacing w:before="240"/>
      </w:pPr>
    </w:p>
    <w:p>
      <w:pPr>
        <w:pStyle w:val="Heading1"/>
        <w:pBdr>
          <w:bottom w:val="single" w:color="B08D3D" w:sz="6" w:space="4"/>
        </w:pBdr>
        <w:spacing w:after="150" w:before="300"/>
      </w:pPr>
      <w:r>
        <w:rPr>
          <w:rFonts w:ascii="Georgia" w:cs="Georgia" w:eastAsia="Georgia" w:hAnsi="Georgia"/>
          <w:b/>
          <w:bCs/>
          <w:color w:val="0B1E39"/>
          <w:sz w:val="28"/>
          <w:szCs w:val="28"/>
        </w:rPr>
        <w:t xml:space="preserve">4. Assignment(s) Given This Session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13294B" w:sz="4"/>
              <w:left w:val="single" w:color="13294B" w:sz="16"/>
              <w:bottom w:val="single" w:color="13294B" w:sz="4"/>
              <w:right w:val="single" w:color="13294B" w:sz="4"/>
            </w:tcBorders>
            <w:shd w:fill="F5F1E8" w:val="clear"/>
            <w:tcMar>
              <w:top w:type="dxa" w:w="140"/>
              <w:left w:type="dxa" w:w="200"/>
              <w:bottom w:type="dxa" w:w="140"/>
              <w:right w:type="dxa" w:w="200"/>
            </w:tcMar>
          </w:tcPr>
          <w:p>
            <w:pPr>
              <w:spacing w:after="60"/>
            </w:pPr>
            <w:r>
              <w:rPr>
                <w:rFonts w:ascii="Georgia" w:cs="Georgia" w:eastAsia="Georgia" w:hAnsi="Georgia"/>
                <w:b/>
                <w:bCs/>
                <w:color w:val="0B1E39"/>
                <w:sz w:val="22"/>
                <w:szCs w:val="22"/>
              </w:rPr>
              <w:t xml:space="preserve">GW1 — Corporate Portfolio &amp; Capital Allocation Diagnostic</w:t>
            </w:r>
          </w:p>
          <w:p>
            <w:r>
              <w:rPr>
                <w:rFonts w:ascii="Calibri" w:cs="Calibri" w:eastAsia="Calibri" w:hAnsi="Calibri"/>
                <w:color w:val="1A1A1A"/>
                <w:sz w:val="21"/>
                <w:szCs w:val="21"/>
              </w:rPr>
              <w:t xml:space="preserve">Group Work, 15% of final grade. Due at the start of Session 3.</w:t>
            </w:r>
          </w:p>
        </w:tc>
      </w:tr>
    </w:tbl>
    <w:p>
      <w:pPr>
        <w:pStyle w:val="Heading2"/>
        <w:spacing w:after="150" w:before="300"/>
      </w:pPr>
      <w:r>
        <w:rPr>
          <w:rFonts w:ascii="Georgia" w:cs="Georgia" w:eastAsia="Georgia" w:hAnsi="Georgia"/>
          <w:b/>
          <w:bCs/>
          <w:color w:val="13294B"/>
          <w:sz w:val="23"/>
          <w:szCs w:val="23"/>
        </w:rPr>
        <w:t xml:space="preserve">Purpose</w:t>
      </w:r>
    </w:p>
    <w:p>
      <w:pPr>
        <w:spacing w:after="130"/>
      </w:pPr>
      <w:r>
        <w:rPr>
          <w:rFonts w:ascii="Calibri" w:cs="Calibri" w:eastAsia="Calibri" w:hAnsi="Calibri"/>
          <w:color w:val="1A1A1A"/>
          <w:sz w:val="21"/>
          <w:szCs w:val="21"/>
        </w:rPr>
        <w:t xml:space="preserve">To turn today's in-class mapping exercise into a structured, evidence-based written diagnostic of your assigned company's portfolio configuration and capital allocation logic.</w:t>
      </w:r>
    </w:p>
    <w:p>
      <w:pPr>
        <w:pStyle w:val="Heading2"/>
        <w:spacing w:after="150" w:before="300"/>
      </w:pPr>
      <w:r>
        <w:rPr>
          <w:rFonts w:ascii="Georgia" w:cs="Georgia" w:eastAsia="Georgia" w:hAnsi="Georgia"/>
          <w:b/>
          <w:bCs/>
          <w:color w:val="13294B"/>
          <w:sz w:val="23"/>
          <w:szCs w:val="23"/>
        </w:rPr>
        <w:t xml:space="preserve">Scope and Expectations</w:t>
      </w:r>
    </w:p>
    <w:p>
      <w:pPr>
        <w:spacing w:after="130"/>
      </w:pPr>
      <w:r>
        <w:rPr>
          <w:rFonts w:ascii="Calibri" w:cs="Calibri" w:eastAsia="Calibri" w:hAnsi="Calibri"/>
          <w:color w:val="1A1A1A"/>
          <w:sz w:val="21"/>
          <w:szCs w:val="21"/>
        </w:rPr>
        <w:t xml:space="preserve">The diagnostic covers every major business segment or subsidiary your assigned company reports separately — not a single business unit in isolation. It is expected to reach a definite verdict (well-configured / not well-configured, capital well-allocated / misallocated) rather than a balanced, uncommitted description. A diagnostic that only describes the portfolio without reaching a verdict does not meet the assignment's scope.</w:t>
      </w:r>
    </w:p>
    <w:p>
      <w:pPr>
        <w:pStyle w:val="Heading2"/>
        <w:spacing w:after="150" w:before="300"/>
      </w:pPr>
      <w:r>
        <w:rPr>
          <w:rFonts w:ascii="Georgia" w:cs="Georgia" w:eastAsia="Georgia" w:hAnsi="Georgia"/>
          <w:b/>
          <w:bCs/>
          <w:color w:val="13294B"/>
          <w:sz w:val="23"/>
          <w:szCs w:val="23"/>
        </w:rPr>
        <w:t xml:space="preserve">Where to Find Information</w:t>
      </w:r>
    </w:p>
    <w:p>
      <w:pPr>
        <w:pStyle w:val="ListParagraph"/>
        <w:numPr>
          <w:ilvl w:val="0"/>
          <w:numId w:val="1"/>
        </w:numPr>
        <w:spacing w:after="90"/>
      </w:pPr>
      <w:r>
        <w:rPr>
          <w:rFonts w:ascii="Calibri" w:cs="Calibri" w:eastAsia="Calibri" w:hAnsi="Calibri"/>
          <w:color w:val="1A1A1A"/>
          <w:sz w:val="21"/>
          <w:szCs w:val="21"/>
        </w:rPr>
        <w:t xml:space="preserve">The company's own annual report or integrated report, for at least the last two fiscal years — segment reporting notes and the management discussion and analysis (MD&amp;A) section are the primary source for revenue, profitability, and capex by business unit.</w:t>
      </w:r>
    </w:p>
    <w:p>
      <w:pPr>
        <w:pStyle w:val="ListParagraph"/>
        <w:numPr>
          <w:ilvl w:val="0"/>
          <w:numId w:val="1"/>
        </w:numPr>
        <w:spacing w:after="90"/>
      </w:pPr>
      <w:r>
        <w:rPr>
          <w:rFonts w:ascii="Calibri" w:cs="Calibri" w:eastAsia="Calibri" w:hAnsi="Calibri"/>
          <w:color w:val="1A1A1A"/>
          <w:sz w:val="21"/>
          <w:szCs w:val="21"/>
        </w:rPr>
        <w:t xml:space="preserve">KAP (Kamuyu Aydınlatma Platformu / Public Disclosure Platform, kap.org.tr) — material-event disclosures and investor presentations, useful for confirming recent acquisitions, disposals, or capital increases.</w:t>
      </w:r>
    </w:p>
    <w:p>
      <w:pPr>
        <w:pStyle w:val="ListParagraph"/>
        <w:numPr>
          <w:ilvl w:val="0"/>
          <w:numId w:val="1"/>
        </w:numPr>
        <w:spacing w:after="90"/>
      </w:pPr>
      <w:r>
        <w:rPr>
          <w:rFonts w:ascii="Calibri" w:cs="Calibri" w:eastAsia="Calibri" w:hAnsi="Calibri"/>
          <w:color w:val="1A1A1A"/>
          <w:sz w:val="21"/>
          <w:szCs w:val="21"/>
        </w:rPr>
        <w:t xml:space="preserve">The company's own investor relations (IR) website — investor presentations and factsheets often summarise segment data more accessibly than the full annual report.</w:t>
      </w:r>
    </w:p>
    <w:p>
      <w:pPr>
        <w:pStyle w:val="ListParagraph"/>
        <w:numPr>
          <w:ilvl w:val="0"/>
          <w:numId w:val="1"/>
        </w:numPr>
        <w:spacing w:after="90"/>
      </w:pPr>
      <w:r>
        <w:rPr>
          <w:rFonts w:ascii="Calibri" w:cs="Calibri" w:eastAsia="Calibri" w:hAnsi="Calibri"/>
          <w:color w:val="1A1A1A"/>
          <w:sz w:val="21"/>
          <w:szCs w:val="21"/>
        </w:rPr>
        <w:t xml:space="preserve">Sector or industry reports (e.g., sector association publications, TÜİK data) for market growth-rate estimates where the company itself does not disclose them.</w:t>
      </w:r>
    </w:p>
    <w:p>
      <w:pPr>
        <w:pStyle w:val="ListParagraph"/>
        <w:numPr>
          <w:ilvl w:val="0"/>
          <w:numId w:val="1"/>
        </w:numPr>
        <w:spacing w:after="90"/>
      </w:pPr>
      <w:r>
        <w:rPr>
          <w:rFonts w:ascii="Calibri" w:cs="Calibri" w:eastAsia="Calibri" w:hAnsi="Calibri"/>
          <w:color w:val="1A1A1A"/>
          <w:sz w:val="21"/>
          <w:szCs w:val="21"/>
        </w:rPr>
        <w:t xml:space="preserve">Competitor annual reports or investor presentations, used only to benchmark relative market share — not to substitute for your own company's data.</w:t>
      </w:r>
    </w:p>
    <w:p>
      <w:pPr>
        <w:pStyle w:val="ListParagraph"/>
        <w:numPr>
          <w:ilvl w:val="0"/>
          <w:numId w:val="1"/>
        </w:numPr>
        <w:spacing w:after="90"/>
      </w:pPr>
      <w:r>
        <w:rPr>
          <w:rFonts w:ascii="Calibri" w:cs="Calibri" w:eastAsia="Calibri" w:hAnsi="Calibri"/>
          <w:color w:val="1A1A1A"/>
          <w:sz w:val="21"/>
          <w:szCs w:val="21"/>
        </w:rPr>
        <w:t xml:space="preserve">Reputable financial press (e.g., Reuters, Bloomberg, Dünya, Ekonomist) for context on recent strategic moves not yet reflected in the latest annual report.</w:t>
      </w:r>
    </w:p>
    <w:p>
      <w:pPr>
        <w:pStyle w:val="Heading2"/>
        <w:spacing w:after="150" w:before="300"/>
      </w:pPr>
      <w:r>
        <w:rPr>
          <w:rFonts w:ascii="Georgia" w:cs="Georgia" w:eastAsia="Georgia" w:hAnsi="Georgia"/>
          <w:b/>
          <w:bCs/>
          <w:color w:val="13294B"/>
          <w:sz w:val="23"/>
          <w:szCs w:val="23"/>
        </w:rPr>
        <w:t xml:space="preserve">How to Process What You Find</w:t>
      </w:r>
    </w:p>
    <w:p>
      <w:pPr>
        <w:pStyle w:val="ListParagraph"/>
        <w:numPr>
          <w:ilvl w:val="0"/>
          <w:numId w:val="2"/>
        </w:numPr>
        <w:spacing w:after="110"/>
      </w:pPr>
      <w:r>
        <w:rPr>
          <w:rFonts w:ascii="Calibri" w:cs="Calibri" w:eastAsia="Calibri" w:hAnsi="Calibri"/>
          <w:color w:val="1A1A1A"/>
          <w:sz w:val="21"/>
          <w:szCs w:val="21"/>
        </w:rPr>
        <w:t xml:space="preserve">Business unit inventory: list every major business segment or subsidiary of your assigned company, with a one-line description, sourced from the company's own annual report segment reporting (not from memory or assumption).</w:t>
      </w:r>
    </w:p>
    <w:p>
      <w:pPr>
        <w:pStyle w:val="ListParagraph"/>
        <w:numPr>
          <w:ilvl w:val="0"/>
          <w:numId w:val="2"/>
        </w:numPr>
        <w:spacing w:after="110"/>
      </w:pPr>
      <w:r>
        <w:rPr>
          <w:rFonts w:ascii="Calibri" w:cs="Calibri" w:eastAsia="Calibri" w:hAnsi="Calibri"/>
          <w:color w:val="1A1A1A"/>
          <w:sz w:val="21"/>
          <w:szCs w:val="21"/>
        </w:rPr>
        <w:t xml:space="preserve">Build a simple data table first: for each unit, record revenue, operating profit/EBITDA, and capex for at least the last two years, each cell tagged with its source. Do not begin writing analysis before this table exists.</w:t>
      </w:r>
    </w:p>
    <w:p>
      <w:pPr>
        <w:pStyle w:val="ListParagraph"/>
        <w:numPr>
          <w:ilvl w:val="0"/>
          <w:numId w:val="2"/>
        </w:numPr>
        <w:spacing w:after="110"/>
      </w:pPr>
      <w:r>
        <w:rPr>
          <w:rFonts w:ascii="Calibri" w:cs="Calibri" w:eastAsia="Calibri" w:hAnsi="Calibri"/>
          <w:color w:val="1A1A1A"/>
          <w:sz w:val="21"/>
          <w:szCs w:val="21"/>
        </w:rPr>
        <w:t xml:space="preserve">Cross-check each figure against a second source where one is available (e.g., an investor presentation figure against the annual report); note explicitly any figure you could not cross-check.</w:t>
      </w:r>
    </w:p>
    <w:p>
      <w:pPr>
        <w:pStyle w:val="ListParagraph"/>
        <w:numPr>
          <w:ilvl w:val="0"/>
          <w:numId w:val="2"/>
        </w:numPr>
        <w:spacing w:after="110"/>
      </w:pPr>
      <w:r>
        <w:rPr>
          <w:rFonts w:ascii="Calibri" w:cs="Calibri" w:eastAsia="Calibri" w:hAnsi="Calibri"/>
          <w:color w:val="1A1A1A"/>
          <w:sz w:val="21"/>
          <w:szCs w:val="21"/>
        </w:rPr>
        <w:t xml:space="preserve">Growth-share plot: for each unit, estimate its relative market share and market growth rate using the sources above. Where no market data exists, build a labelled estimate and explain the reasoning behind it — never present an estimate as a confirmed figure. Classify each unit as star, cash cow, question mark, or dog.</w:t>
      </w:r>
    </w:p>
    <w:p>
      <w:pPr>
        <w:pStyle w:val="ListParagraph"/>
        <w:numPr>
          <w:ilvl w:val="0"/>
          <w:numId w:val="2"/>
        </w:numPr>
        <w:spacing w:after="110"/>
      </w:pPr>
      <w:r>
        <w:rPr>
          <w:rFonts w:ascii="Calibri" w:cs="Calibri" w:eastAsia="Calibri" w:hAnsi="Calibri"/>
          <w:color w:val="1A1A1A"/>
          <w:sz w:val="21"/>
          <w:szCs w:val="21"/>
        </w:rPr>
        <w:t xml:space="preserve">Parenting-advantage test: for each unit, apply Porter's three tests and the Goold-Campbell-Alexander parenting-fit logic. Write two to three sentences per unit concluding whether the corporate centre appears to add or destroy value there, and why.</w:t>
      </w:r>
    </w:p>
    <w:p>
      <w:pPr>
        <w:pStyle w:val="ListParagraph"/>
        <w:numPr>
          <w:ilvl w:val="0"/>
          <w:numId w:val="2"/>
        </w:numPr>
        <w:spacing w:after="110"/>
      </w:pPr>
      <w:r>
        <w:rPr>
          <w:rFonts w:ascii="Calibri" w:cs="Calibri" w:eastAsia="Calibri" w:hAnsi="Calibri"/>
          <w:color w:val="1A1A1A"/>
          <w:sz w:val="21"/>
          <w:szCs w:val="21"/>
        </w:rPr>
        <w:t xml:space="preserve">Capital allocation narrative: using your data table, describe where capital — capex, M&amp;A spend, disposals, dividends, buybacks — has actually gone over the period. Compare this to what your parenting-advantage analysis suggests it should be, and flag any mismatch explicitly.</w:t>
      </w:r>
    </w:p>
    <w:p>
      <w:pPr>
        <w:pStyle w:val="ListParagraph"/>
        <w:numPr>
          <w:ilvl w:val="0"/>
          <w:numId w:val="2"/>
        </w:numPr>
        <w:spacing w:after="110"/>
      </w:pPr>
      <w:r>
        <w:rPr>
          <w:rFonts w:ascii="Calibri" w:cs="Calibri" w:eastAsia="Calibri" w:hAnsi="Calibri"/>
          <w:color w:val="1A1A1A"/>
          <w:sz w:val="21"/>
          <w:szCs w:val="21"/>
        </w:rPr>
        <w:t xml:space="preserve">Diagnostic verdict: write this section last, after every unit has been analysed. State plainly whether the portfolio is well-configured and whether capital is being allocated consistently with a coherent corporate strategy — or not, and why.</w:t>
      </w:r>
    </w:p>
    <w:p>
      <w:pPr>
        <w:pStyle w:val="Heading2"/>
        <w:spacing w:after="150" w:before="300"/>
      </w:pPr>
      <w:r>
        <w:rPr>
          <w:rFonts w:ascii="Georgia" w:cs="Georgia" w:eastAsia="Georgia" w:hAnsi="Georgia"/>
          <w:b/>
          <w:bCs/>
          <w:color w:val="13294B"/>
          <w:sz w:val="23"/>
          <w:szCs w:val="23"/>
        </w:rPr>
        <w:t xml:space="preserve">Expected Section Titles</w:t>
      </w:r>
    </w:p>
    <w:p>
      <w:pPr>
        <w:spacing w:after="130"/>
      </w:pPr>
      <w:r>
        <w:rPr>
          <w:rFonts w:ascii="Calibri" w:cs="Calibri" w:eastAsia="Calibri" w:hAnsi="Calibri"/>
          <w:color w:val="1A1A1A"/>
          <w:sz w:val="21"/>
          <w:szCs w:val="21"/>
        </w:rPr>
        <w:t xml:space="preserve">The deliverable is expected to be organised under exactly these headings, in this order:</w:t>
      </w:r>
    </w:p>
    <w:p>
      <w:pPr>
        <w:spacing w:after="130"/>
      </w:pPr>
      <w:r>
        <w:rPr>
          <w:rFonts w:ascii="Calibri" w:cs="Calibri" w:eastAsia="Calibri" w:hAnsi="Calibri"/>
          <w:i/>
          <w:iCs/>
          <w:color w:val="13294B"/>
          <w:sz w:val="20"/>
          <w:szCs w:val="20"/>
        </w:rPr>
        <w:t xml:space="preserve">1. Executive Summary   →   2. Business Unit Inventory   →   3. Growth-Share Analysis   →   4. Parenting-Advantage Assessment   →   5. Capital Allocation Narrative   →   6. Diagnostic Verdict</w:t>
      </w:r>
    </w:p>
    <w:p>
      <w:pPr>
        <w:pStyle w:val="Heading2"/>
        <w:spacing w:after="150" w:before="300"/>
      </w:pPr>
      <w:r>
        <w:rPr>
          <w:rFonts w:ascii="Georgia" w:cs="Georgia" w:eastAsia="Georgia" w:hAnsi="Georgia"/>
          <w:b/>
          <w:bCs/>
          <w:color w:val="13294B"/>
          <w:sz w:val="23"/>
          <w:szCs w:val="23"/>
        </w:rPr>
        <w:t xml:space="preserve">Format and Length</w:t>
      </w:r>
    </w:p>
    <w:p>
      <w:pPr>
        <w:spacing w:after="130"/>
      </w:pPr>
      <w:r>
        <w:rPr>
          <w:rFonts w:ascii="Calibri" w:cs="Calibri" w:eastAsia="Calibri" w:hAnsi="Calibri"/>
          <w:color w:val="1A1A1A"/>
          <w:sz w:val="21"/>
          <w:szCs w:val="21"/>
        </w:rPr>
        <w:t xml:space="preserve">Maximum 10 pages (working target 4–6 pages), excluding a data-table appendix if one is attached. Single PDF or Word document, one submission per team. Every specific figure must be cited to its source (annual report page/section, KAP filing, or clearly labelled estimate).</w:t>
      </w:r>
    </w:p>
    <w:p>
      <w:pPr>
        <w:pStyle w:val="Heading2"/>
        <w:spacing w:after="150" w:before="300"/>
      </w:pPr>
      <w:r>
        <w:rPr>
          <w:rFonts w:ascii="Georgia" w:cs="Georgia" w:eastAsia="Georgia" w:hAnsi="Georgia"/>
          <w:b/>
          <w:bCs/>
          <w:color w:val="13294B"/>
          <w:sz w:val="23"/>
          <w:szCs w:val="23"/>
        </w:rPr>
        <w:t xml:space="preserve">Delivery Details (Group Work)</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400"/>
        <w:gridCol w:w="7300"/>
      </w:tblGrid>
      <w:tr>
        <w:tc>
          <w:tcPr>
            <w:tcW w:type="dxa" w:w="2400"/>
            <w:shd w:fill="0B1E39" w:val="clear"/>
            <w:tcMar>
              <w:top w:type="dxa" w:w="100"/>
              <w:left w:type="dxa" w:w="150"/>
              <w:bottom w:type="dxa" w:w="100"/>
              <w:right w:type="dxa" w:w="150"/>
            </w:tcMar>
          </w:tcPr>
          <w:p>
            <w:r>
              <w:rPr>
                <w:rFonts w:ascii="Calibri" w:cs="Calibri" w:eastAsia="Calibri" w:hAnsi="Calibri"/>
                <w:b/>
                <w:bCs/>
                <w:color w:val="FFFFFF"/>
                <w:sz w:val="20"/>
                <w:szCs w:val="20"/>
              </w:rPr>
              <w:t xml:space="preserve">Final Delivery</w:t>
            </w:r>
          </w:p>
        </w:tc>
        <w:tc>
          <w:tcPr>
            <w:tcW w:type="dxa" w:w="7300"/>
            <w:shd w:fill="FFFFFF" w:val="clear"/>
            <w:tcMar>
              <w:top w:type="dxa" w:w="100"/>
              <w:left w:type="dxa" w:w="150"/>
              <w:bottom w:type="dxa" w:w="100"/>
              <w:right w:type="dxa" w:w="150"/>
            </w:tcMar>
          </w:tcPr>
          <w:p>
            <w:r>
              <w:rPr>
                <w:rFonts w:ascii="Calibri" w:cs="Calibri" w:eastAsia="Calibri" w:hAnsi="Calibri"/>
                <w:color w:val="1A1A1A"/>
                <w:sz w:val="20"/>
                <w:szCs w:val="20"/>
              </w:rPr>
              <w:t xml:space="preserve">Start of Session 3.</w:t>
            </w:r>
          </w:p>
        </w:tc>
      </w:tr>
      <w:tr>
        <w:tc>
          <w:tcPr>
            <w:tcW w:type="dxa" w:w="2400"/>
            <w:shd w:fill="0B1E39" w:val="clear"/>
            <w:tcMar>
              <w:top w:type="dxa" w:w="100"/>
              <w:left w:type="dxa" w:w="150"/>
              <w:bottom w:type="dxa" w:w="100"/>
              <w:right w:type="dxa" w:w="150"/>
            </w:tcMar>
          </w:tcPr>
          <w:p>
            <w:r>
              <w:rPr>
                <w:rFonts w:ascii="Calibri" w:cs="Calibri" w:eastAsia="Calibri" w:hAnsi="Calibri"/>
                <w:b/>
                <w:bCs/>
                <w:color w:val="FFFFFF"/>
                <w:sz w:val="20"/>
                <w:szCs w:val="20"/>
              </w:rPr>
              <w:t xml:space="preserve">Delivery Format</w:t>
            </w:r>
          </w:p>
        </w:tc>
        <w:tc>
          <w:tcPr>
            <w:tcW w:type="dxa" w:w="7300"/>
            <w:shd w:fill="FFFFFF" w:val="clear"/>
            <w:tcMar>
              <w:top w:type="dxa" w:w="100"/>
              <w:left w:type="dxa" w:w="150"/>
              <w:bottom w:type="dxa" w:w="100"/>
              <w:right w:type="dxa" w:w="150"/>
            </w:tcMar>
          </w:tcPr>
          <w:p>
            <w:r>
              <w:rPr>
                <w:rFonts w:ascii="Calibri" w:cs="Calibri" w:eastAsia="Calibri" w:hAnsi="Calibri"/>
                <w:color w:val="1A1A1A"/>
                <w:sz w:val="20"/>
                <w:szCs w:val="20"/>
              </w:rPr>
              <w:t xml:space="preserve">Single PDF or Word document, one submission per team.</w:t>
            </w:r>
          </w:p>
        </w:tc>
      </w:tr>
    </w:tbl>
    <w:p>
      <w:pPr>
        <w:pStyle w:val="Heading2"/>
        <w:spacing w:after="150" w:before="300"/>
      </w:pPr>
      <w:r>
        <w:rPr>
          <w:rFonts w:ascii="Georgia" w:cs="Georgia" w:eastAsia="Georgia" w:hAnsi="Georgia"/>
          <w:b/>
          <w:bCs/>
          <w:color w:val="13294B"/>
          <w:sz w:val="23"/>
          <w:szCs w:val="23"/>
        </w:rPr>
        <w:t xml:space="preserve">How This Will Be Graded</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200"/>
        <w:gridCol w:w="3500"/>
      </w:tblGrid>
      <w:tr>
        <w:tc>
          <w:tcPr>
            <w:tcW w:type="dxa" w:w="6200"/>
            <w:shd w:fill="0B1E39" w:val="clear"/>
            <w:tcMar>
              <w:top w:type="dxa" w:w="100"/>
              <w:left w:type="dxa" w:w="150"/>
              <w:bottom w:type="dxa" w:w="100"/>
              <w:right w:type="dxa" w:w="150"/>
            </w:tcMar>
          </w:tcPr>
          <w:p>
            <w:r>
              <w:rPr>
                <w:rFonts w:ascii="Calibri" w:cs="Calibri" w:eastAsia="Calibri" w:hAnsi="Calibri"/>
                <w:b/>
                <w:bCs/>
                <w:color w:val="FFFFFF"/>
                <w:sz w:val="20"/>
                <w:szCs w:val="20"/>
              </w:rPr>
              <w:t xml:space="preserve">Criterion</w:t>
            </w:r>
          </w:p>
        </w:tc>
        <w:tc>
          <w:tcPr>
            <w:tcW w:type="dxa" w:w="3500"/>
            <w:shd w:fill="0B1E39" w:val="clear"/>
            <w:tcMar>
              <w:top w:type="dxa" w:w="100"/>
              <w:left w:type="dxa" w:w="150"/>
              <w:bottom w:type="dxa" w:w="100"/>
              <w:right w:type="dxa" w:w="150"/>
            </w:tcMar>
          </w:tcPr>
          <w:p>
            <w:pPr>
              <w:jc w:val="center"/>
            </w:pPr>
            <w:r>
              <w:rPr>
                <w:rFonts w:ascii="Calibri" w:cs="Calibri" w:eastAsia="Calibri" w:hAnsi="Calibri"/>
                <w:b/>
                <w:bCs/>
                <w:color w:val="FFFFFF"/>
                <w:sz w:val="20"/>
                <w:szCs w:val="20"/>
              </w:rPr>
              <w:t xml:space="preserve">Weight within this grade</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Evidence quality and sourcing discipline</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25%</w:t>
            </w:r>
          </w:p>
        </w:tc>
      </w:tr>
      <w:tr>
        <w:tc>
          <w:tcPr>
            <w:tcW w:type="dxa" w:w="6200"/>
            <w:shd w:fill="F5F1E8" w:val="clear"/>
            <w:tcMar>
              <w:top w:type="dxa" w:w="100"/>
              <w:left w:type="dxa" w:w="150"/>
              <w:bottom w:type="dxa" w:w="100"/>
              <w:right w:type="dxa" w:w="150"/>
            </w:tcMar>
          </w:tcPr>
          <w:p>
            <w:r>
              <w:rPr>
                <w:rFonts w:ascii="Calibri" w:cs="Calibri" w:eastAsia="Calibri" w:hAnsi="Calibri"/>
                <w:color w:val="1A1A1A"/>
                <w:sz w:val="20"/>
                <w:szCs w:val="20"/>
              </w:rPr>
              <w:t xml:space="preserve">Correct application of frameworks (growth-share matrix, parenting-advantage test)</w:t>
            </w:r>
          </w:p>
        </w:tc>
        <w:tc>
          <w:tcPr>
            <w:tcW w:type="dxa" w:w="3500"/>
            <w:shd w:fill="F5F1E8"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30%</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Quality of the capital allocation narrative and diagnostic verdict</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30%</w:t>
            </w:r>
          </w:p>
        </w:tc>
      </w:tr>
      <w:tr>
        <w:tc>
          <w:tcPr>
            <w:tcW w:type="dxa" w:w="6200"/>
            <w:shd w:fill="F5F1E8" w:val="clear"/>
            <w:tcMar>
              <w:top w:type="dxa" w:w="100"/>
              <w:left w:type="dxa" w:w="150"/>
              <w:bottom w:type="dxa" w:w="100"/>
              <w:right w:type="dxa" w:w="150"/>
            </w:tcMar>
          </w:tcPr>
          <w:p>
            <w:r>
              <w:rPr>
                <w:rFonts w:ascii="Calibri" w:cs="Calibri" w:eastAsia="Calibri" w:hAnsi="Calibri"/>
                <w:color w:val="1A1A1A"/>
                <w:sz w:val="20"/>
                <w:szCs w:val="20"/>
              </w:rPr>
              <w:t xml:space="preserve">Structure, clarity, and adherence to the expected section titles</w:t>
            </w:r>
          </w:p>
        </w:tc>
        <w:tc>
          <w:tcPr>
            <w:tcW w:type="dxa" w:w="3500"/>
            <w:shd w:fill="F5F1E8"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15%</w:t>
            </w:r>
          </w:p>
        </w:tc>
      </w:tr>
    </w:tbl>
    <w:p>
      <w:pPr>
        <w:spacing w:after="100" w:before="100"/>
      </w:pP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13294B" w:sz="4"/>
              <w:left w:val="single" w:color="13294B" w:sz="16"/>
              <w:bottom w:val="single" w:color="13294B" w:sz="4"/>
              <w:right w:val="single" w:color="13294B" w:sz="4"/>
            </w:tcBorders>
            <w:shd w:fill="F5F1E8" w:val="clear"/>
            <w:tcMar>
              <w:top w:type="dxa" w:w="140"/>
              <w:left w:type="dxa" w:w="200"/>
              <w:bottom w:type="dxa" w:w="140"/>
              <w:right w:type="dxa" w:w="200"/>
            </w:tcMar>
          </w:tcPr>
          <w:p>
            <w:pPr>
              <w:spacing w:after="60"/>
            </w:pPr>
            <w:r>
              <w:rPr>
                <w:rFonts w:ascii="Georgia" w:cs="Georgia" w:eastAsia="Georgia" w:hAnsi="Georgia"/>
                <w:b/>
                <w:bCs/>
                <w:color w:val="0B1E39"/>
                <w:sz w:val="22"/>
                <w:szCs w:val="22"/>
              </w:rPr>
              <w:t xml:space="preserve">Investment Committee Simulation — preparation for Session 2 (not separately graded)</w:t>
            </w:r>
          </w:p>
          <w:p>
            <w:r>
              <w:rPr>
                <w:rFonts w:ascii="Calibri" w:cs="Calibri" w:eastAsia="Calibri" w:hAnsi="Calibri"/>
                <w:color w:val="1A1A1A"/>
                <w:sz w:val="21"/>
                <w:szCs w:val="21"/>
              </w:rPr>
              <w:t xml:space="preserve">Group Work, preparation only — not separately graded. The written proposal must be ready before Session 2 begins; it is presented and questioned live during Session 2's in-class block.</w:t>
            </w:r>
          </w:p>
        </w:tc>
      </w:tr>
    </w:tbl>
    <w:p>
      <w:pPr>
        <w:pStyle w:val="Heading2"/>
        <w:spacing w:after="150" w:before="300"/>
      </w:pPr>
      <w:r>
        <w:rPr>
          <w:rFonts w:ascii="Georgia" w:cs="Georgia" w:eastAsia="Georgia" w:hAnsi="Georgia"/>
          <w:b/>
          <w:bCs/>
          <w:color w:val="13294B"/>
          <w:sz w:val="23"/>
          <w:szCs w:val="23"/>
        </w:rPr>
        <w:t xml:space="preserve">Purpose</w:t>
      </w:r>
    </w:p>
    <w:p>
      <w:pPr>
        <w:spacing w:after="130"/>
      </w:pPr>
      <w:r>
        <w:rPr>
          <w:rFonts w:ascii="Calibri" w:cs="Calibri" w:eastAsia="Calibri" w:hAnsi="Calibri"/>
          <w:color w:val="1A1A1A"/>
          <w:sz w:val="21"/>
          <w:szCs w:val="21"/>
        </w:rPr>
        <w:t xml:space="preserve">To prepare, in writing, a short investment-committee-style case for your assigned company — a proposed capital allocation or M&amp;A decision — built directly on today's portfolio mapping exercise. Your team plays management, proposing the case; the guest executive and the Session 2 panel play the investment committee that will question it live.</w:t>
      </w:r>
    </w:p>
    <w:p>
      <w:pPr>
        <w:pStyle w:val="Heading2"/>
        <w:spacing w:after="150" w:before="300"/>
      </w:pPr>
      <w:r>
        <w:rPr>
          <w:rFonts w:ascii="Georgia" w:cs="Georgia" w:eastAsia="Georgia" w:hAnsi="Georgia"/>
          <w:b/>
          <w:bCs/>
          <w:color w:val="13294B"/>
          <w:sz w:val="23"/>
          <w:szCs w:val="23"/>
        </w:rPr>
        <w:t xml:space="preserve">Scope and Expectations</w:t>
      </w:r>
    </w:p>
    <w:p>
      <w:pPr>
        <w:spacing w:after="130"/>
      </w:pPr>
      <w:r>
        <w:rPr>
          <w:rFonts w:ascii="Calibri" w:cs="Calibri" w:eastAsia="Calibri" w:hAnsi="Calibri"/>
          <w:color w:val="1A1A1A"/>
          <w:sz w:val="21"/>
          <w:szCs w:val="21"/>
        </w:rPr>
        <w:t xml:space="preserve">This is deliberately narrow: one decision, argued well, not a survey of options. The proposal should read as something a real investment committee could actually vote on — specific enough to approve or reject, not a general strategic direction.</w:t>
      </w:r>
    </w:p>
    <w:p>
      <w:pPr>
        <w:pStyle w:val="Heading2"/>
        <w:spacing w:after="150" w:before="300"/>
      </w:pPr>
      <w:r>
        <w:rPr>
          <w:rFonts w:ascii="Georgia" w:cs="Georgia" w:eastAsia="Georgia" w:hAnsi="Georgia"/>
          <w:b/>
          <w:bCs/>
          <w:color w:val="13294B"/>
          <w:sz w:val="23"/>
          <w:szCs w:val="23"/>
        </w:rPr>
        <w:t xml:space="preserve">Where to Find Information</w:t>
      </w:r>
    </w:p>
    <w:p>
      <w:pPr>
        <w:pStyle w:val="ListParagraph"/>
        <w:numPr>
          <w:ilvl w:val="0"/>
          <w:numId w:val="1"/>
        </w:numPr>
        <w:spacing w:after="90"/>
      </w:pPr>
      <w:r>
        <w:rPr>
          <w:rFonts w:ascii="Calibri" w:cs="Calibri" w:eastAsia="Calibri" w:hAnsi="Calibri"/>
          <w:color w:val="1A1A1A"/>
          <w:sz w:val="21"/>
          <w:szCs w:val="21"/>
        </w:rPr>
        <w:t xml:space="preserve">Reuse the data table already built for GW1 — no new data-gathering is expected for this exercise.</w:t>
      </w:r>
    </w:p>
    <w:p>
      <w:pPr>
        <w:pStyle w:val="ListParagraph"/>
        <w:numPr>
          <w:ilvl w:val="0"/>
          <w:numId w:val="1"/>
        </w:numPr>
        <w:spacing w:after="90"/>
      </w:pPr>
      <w:r>
        <w:rPr>
          <w:rFonts w:ascii="Calibri" w:cs="Calibri" w:eastAsia="Calibri" w:hAnsi="Calibri"/>
          <w:color w:val="1A1A1A"/>
          <w:sz w:val="21"/>
          <w:szCs w:val="21"/>
        </w:rPr>
        <w:t xml:space="preserve">If the chosen decision involves an acquisition, a quick check of the target's (or target type's) typical valuation multiples via financial press or sector reports can strengthen the proposal, but is not required.</w:t>
      </w:r>
    </w:p>
    <w:p>
      <w:pPr>
        <w:pStyle w:val="Heading2"/>
        <w:spacing w:after="150" w:before="300"/>
      </w:pPr>
      <w:r>
        <w:rPr>
          <w:rFonts w:ascii="Georgia" w:cs="Georgia" w:eastAsia="Georgia" w:hAnsi="Georgia"/>
          <w:b/>
          <w:bCs/>
          <w:color w:val="13294B"/>
          <w:sz w:val="23"/>
          <w:szCs w:val="23"/>
        </w:rPr>
        <w:t xml:space="preserve">How to Process What You Find</w:t>
      </w:r>
    </w:p>
    <w:p>
      <w:pPr>
        <w:pStyle w:val="ListParagraph"/>
        <w:numPr>
          <w:ilvl w:val="0"/>
          <w:numId w:val="3"/>
        </w:numPr>
        <w:spacing w:after="110"/>
      </w:pPr>
      <w:r>
        <w:rPr>
          <w:rFonts w:ascii="Calibri" w:cs="Calibri" w:eastAsia="Calibri" w:hAnsi="Calibri"/>
          <w:color w:val="1A1A1A"/>
          <w:sz w:val="21"/>
          <w:szCs w:val="21"/>
        </w:rPr>
        <w:t xml:space="preserve">Pick one candidate decision: choose one capital allocation or M&amp;A decision your team's mapping exercise today suggests the company should plausibly consider (e.g., invest further in a star unit, divest a dog, acquire a capability the parenting-advantage test suggests is missing).</w:t>
      </w:r>
    </w:p>
    <w:p>
      <w:pPr>
        <w:pStyle w:val="ListParagraph"/>
        <w:numPr>
          <w:ilvl w:val="0"/>
          <w:numId w:val="3"/>
        </w:numPr>
        <w:spacing w:after="110"/>
      </w:pPr>
      <w:r>
        <w:rPr>
          <w:rFonts w:ascii="Calibri" w:cs="Calibri" w:eastAsia="Calibri" w:hAnsi="Calibri"/>
          <w:color w:val="1A1A1A"/>
          <w:sz w:val="21"/>
          <w:szCs w:val="21"/>
        </w:rPr>
        <w:t xml:space="preserve">Write the one- to two-page proposal: state the decision, the strategic rationale, the approximate scale of capital involved, and the expected return or strategic benefit.</w:t>
      </w:r>
    </w:p>
    <w:p>
      <w:pPr>
        <w:pStyle w:val="ListParagraph"/>
        <w:numPr>
          <w:ilvl w:val="0"/>
          <w:numId w:val="3"/>
        </w:numPr>
        <w:spacing w:after="110"/>
      </w:pPr>
      <w:r>
        <w:rPr>
          <w:rFonts w:ascii="Calibri" w:cs="Calibri" w:eastAsia="Calibri" w:hAnsi="Calibri"/>
          <w:color w:val="1A1A1A"/>
          <w:sz w:val="21"/>
          <w:szCs w:val="21"/>
        </w:rPr>
        <w:t xml:space="preserve">Anticipate the committee's questions: prepare short answers on valuation assumptions, strategic fit, integration risk, and financing — these are the specific angles the investment committee will question in Session 2.</w:t>
      </w:r>
    </w:p>
    <w:p>
      <w:pPr>
        <w:pStyle w:val="ListParagraph"/>
        <w:numPr>
          <w:ilvl w:val="0"/>
          <w:numId w:val="3"/>
        </w:numPr>
        <w:spacing w:after="110"/>
      </w:pPr>
      <w:r>
        <w:rPr>
          <w:rFonts w:ascii="Calibri" w:cs="Calibri" w:eastAsia="Calibri" w:hAnsi="Calibri"/>
          <w:color w:val="1A1A1A"/>
          <w:sz w:val="21"/>
          <w:szCs w:val="21"/>
        </w:rPr>
        <w:t xml:space="preserve">Assign a presenter (or presenters) from the team for the live session.</w:t>
      </w:r>
    </w:p>
    <w:p>
      <w:pPr>
        <w:pStyle w:val="Heading2"/>
        <w:spacing w:after="150" w:before="300"/>
      </w:pPr>
      <w:r>
        <w:rPr>
          <w:rFonts w:ascii="Georgia" w:cs="Georgia" w:eastAsia="Georgia" w:hAnsi="Georgia"/>
          <w:b/>
          <w:bCs/>
          <w:color w:val="13294B"/>
          <w:sz w:val="23"/>
          <w:szCs w:val="23"/>
        </w:rPr>
        <w:t xml:space="preserve">Expected Section Titles</w:t>
      </w:r>
    </w:p>
    <w:p>
      <w:pPr>
        <w:spacing w:after="130"/>
      </w:pPr>
      <w:r>
        <w:rPr>
          <w:rFonts w:ascii="Calibri" w:cs="Calibri" w:eastAsia="Calibri" w:hAnsi="Calibri"/>
          <w:color w:val="1A1A1A"/>
          <w:sz w:val="21"/>
          <w:szCs w:val="21"/>
        </w:rPr>
        <w:t xml:space="preserve">The deliverable is expected to be organised under exactly these headings, in this order:</w:t>
      </w:r>
    </w:p>
    <w:p>
      <w:pPr>
        <w:spacing w:after="130"/>
      </w:pPr>
      <w:r>
        <w:rPr>
          <w:rFonts w:ascii="Calibri" w:cs="Calibri" w:eastAsia="Calibri" w:hAnsi="Calibri"/>
          <w:i/>
          <w:iCs/>
          <w:color w:val="13294B"/>
          <w:sz w:val="20"/>
          <w:szCs w:val="20"/>
        </w:rPr>
        <w:t xml:space="preserve">1. Proposed Decision   →   2. Strategic Rationale   →   3. Capital Required and Expected Return   →   4. Anticipated Committee Questions</w:t>
      </w:r>
    </w:p>
    <w:p>
      <w:pPr>
        <w:pStyle w:val="Heading2"/>
        <w:spacing w:after="150" w:before="300"/>
      </w:pPr>
      <w:r>
        <w:rPr>
          <w:rFonts w:ascii="Georgia" w:cs="Georgia" w:eastAsia="Georgia" w:hAnsi="Georgia"/>
          <w:b/>
          <w:bCs/>
          <w:color w:val="13294B"/>
          <w:sz w:val="23"/>
          <w:szCs w:val="23"/>
        </w:rPr>
        <w:t xml:space="preserve">Format and Length</w:t>
      </w:r>
    </w:p>
    <w:p>
      <w:pPr>
        <w:spacing w:after="130"/>
      </w:pPr>
      <w:r>
        <w:rPr>
          <w:rFonts w:ascii="Calibri" w:cs="Calibri" w:eastAsia="Calibri" w:hAnsi="Calibri"/>
          <w:color w:val="1A1A1A"/>
          <w:sz w:val="21"/>
          <w:szCs w:val="21"/>
        </w:rPr>
        <w:t xml:space="preserve">Maximum 10 pages (working target 1–2 pages), brought to Session 2 in hard copy or on a laptop; no formal submission is required beforehand, and this exercise does not carry a separate grade — but preparation quality directly affects performance in the graded discussion that follows.</w:t>
      </w:r>
    </w:p>
    <w:p>
      <w:pPr>
        <w:spacing w:before="260"/>
      </w:pPr>
    </w:p>
    <w:p>
      <w:pPr>
        <w:pStyle w:val="Heading1"/>
        <w:pBdr>
          <w:bottom w:val="single" w:color="B08D3D" w:sz="6" w:space="4"/>
        </w:pBdr>
        <w:spacing w:after="150" w:before="300"/>
      </w:pPr>
      <w:r>
        <w:rPr>
          <w:rFonts w:ascii="Georgia" w:cs="Georgia" w:eastAsia="Georgia" w:hAnsi="Georgia"/>
          <w:b/>
          <w:bCs/>
          <w:color w:val="0B1E39"/>
          <w:sz w:val="28"/>
          <w:szCs w:val="28"/>
        </w:rPr>
        <w:t xml:space="preserve">How Your Final Course Grade Is Calculated</w:t>
      </w:r>
    </w:p>
    <w:p>
      <w:pPr>
        <w:spacing w:after="130"/>
      </w:pPr>
      <w:r>
        <w:rPr>
          <w:rFonts w:ascii="Calibri" w:cs="Calibri" w:eastAsia="Calibri" w:hAnsi="Calibri"/>
          <w:color w:val="1A1A1A"/>
          <w:sz w:val="21"/>
          <w:szCs w:val="21"/>
        </w:rPr>
        <w:t xml:space="preserve">Your final grade for ADEX 547 is built from five graded deliverables across three components. This is the same breakdown that will apply for the rest of the course, so it is worth understanding now:</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200"/>
        <w:gridCol w:w="3500"/>
      </w:tblGrid>
      <w:tr>
        <w:tc>
          <w:tcPr>
            <w:tcW w:type="dxa" w:w="6200"/>
            <w:shd w:fill="0B1E39" w:val="clear"/>
            <w:tcMar>
              <w:top w:type="dxa" w:w="100"/>
              <w:left w:type="dxa" w:w="150"/>
              <w:bottom w:type="dxa" w:w="100"/>
              <w:right w:type="dxa" w:w="150"/>
            </w:tcMar>
          </w:tcPr>
          <w:p>
            <w:r>
              <w:rPr>
                <w:rFonts w:ascii="Calibri" w:cs="Calibri" w:eastAsia="Calibri" w:hAnsi="Calibri"/>
                <w:b/>
                <w:bCs/>
                <w:color w:val="FFFFFF"/>
                <w:sz w:val="20"/>
                <w:szCs w:val="20"/>
              </w:rPr>
              <w:t xml:space="preserve">Component</w:t>
            </w:r>
          </w:p>
        </w:tc>
        <w:tc>
          <w:tcPr>
            <w:tcW w:type="dxa" w:w="3500"/>
            <w:shd w:fill="0B1E39" w:val="clear"/>
            <w:tcMar>
              <w:top w:type="dxa" w:w="100"/>
              <w:left w:type="dxa" w:w="150"/>
              <w:bottom w:type="dxa" w:w="100"/>
              <w:right w:type="dxa" w:w="150"/>
            </w:tcMar>
          </w:tcPr>
          <w:p>
            <w:pPr>
              <w:jc w:val="center"/>
            </w:pPr>
            <w:r>
              <w:rPr>
                <w:rFonts w:ascii="Calibri" w:cs="Calibri" w:eastAsia="Calibri" w:hAnsi="Calibri"/>
                <w:b/>
                <w:bCs/>
                <w:color w:val="FFFFFF"/>
                <w:sz w:val="20"/>
                <w:szCs w:val="20"/>
              </w:rPr>
              <w:t xml:space="preserve">Weight in Final Grade</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Group Work 1 — Portfolio &amp; Capital Allocation Diagnostic</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15%</w:t>
            </w:r>
          </w:p>
        </w:tc>
      </w:tr>
      <w:tr>
        <w:tc>
          <w:tcPr>
            <w:tcW w:type="dxa" w:w="6200"/>
            <w:shd w:fill="F5F1E8" w:val="clear"/>
            <w:tcMar>
              <w:top w:type="dxa" w:w="100"/>
              <w:left w:type="dxa" w:w="150"/>
              <w:bottom w:type="dxa" w:w="100"/>
              <w:right w:type="dxa" w:w="150"/>
            </w:tcMar>
          </w:tcPr>
          <w:p>
            <w:r>
              <w:rPr>
                <w:rFonts w:ascii="Calibri" w:cs="Calibri" w:eastAsia="Calibri" w:hAnsi="Calibri"/>
                <w:color w:val="1A1A1A"/>
                <w:sz w:val="20"/>
                <w:szCs w:val="20"/>
              </w:rPr>
              <w:t xml:space="preserve">Group Work 2 — Activist &amp; Capital Market Pressure Simulation</w:t>
            </w:r>
          </w:p>
        </w:tc>
        <w:tc>
          <w:tcPr>
            <w:tcW w:type="dxa" w:w="3500"/>
            <w:shd w:fill="F5F1E8"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15%</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Individual Work 1 — Strategic Investment &amp; M&amp;A Governance Memo</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22%</w:t>
            </w:r>
          </w:p>
        </w:tc>
      </w:tr>
      <w:tr>
        <w:tc>
          <w:tcPr>
            <w:tcW w:type="dxa" w:w="6200"/>
            <w:shd w:fill="F5F1E8" w:val="clear"/>
            <w:tcMar>
              <w:top w:type="dxa" w:w="100"/>
              <w:left w:type="dxa" w:w="150"/>
              <w:bottom w:type="dxa" w:w="100"/>
              <w:right w:type="dxa" w:w="150"/>
            </w:tcMar>
          </w:tcPr>
          <w:p>
            <w:r>
              <w:rPr>
                <w:rFonts w:ascii="Calibri" w:cs="Calibri" w:eastAsia="Calibri" w:hAnsi="Calibri"/>
                <w:color w:val="1A1A1A"/>
                <w:sz w:val="20"/>
                <w:szCs w:val="20"/>
              </w:rPr>
              <w:t xml:space="preserve">Individual Work 2 — Executive Governance &amp; Investment Reflection Paper</w:t>
            </w:r>
          </w:p>
        </w:tc>
        <w:tc>
          <w:tcPr>
            <w:tcW w:type="dxa" w:w="3500"/>
            <w:shd w:fill="F5F1E8"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18%</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Final Board-Level Portfolio &amp; Investment Strategy Presentation</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30%</w:t>
            </w:r>
          </w:p>
        </w:tc>
      </w:tr>
    </w:tbl>
    <w:p>
      <w:pPr>
        <w:spacing w:after="130"/>
      </w:pPr>
      <w:r>
        <w:rPr>
          <w:rFonts w:ascii="Calibri" w:cs="Calibri" w:eastAsia="Calibri" w:hAnsi="Calibri"/>
          <w:i/>
          <w:iCs/>
          <w:color w:val="5A5A5A"/>
          <w:sz w:val="21"/>
          <w:szCs w:val="21"/>
        </w:rPr>
        <w:t xml:space="preserve">Group Works together account for 30% of the final grade, Individual Works for 40%, and the Final Presentation for 30% — 100% in total. Attendance at Sessions 2, 4, and 6 is mandatory. The Investment Committee Simulation prepared for Session 2 is a preparation exercise and is not separately graded, though it directly affects performance in Session 2's graded discussion.</w:t>
      </w:r>
    </w:p>
    <w:p>
      <w:pPr>
        <w:spacing w:before="260"/>
      </w:pPr>
    </w:p>
    <w:p>
      <w:pPr>
        <w:pStyle w:val="Heading1"/>
        <w:pBdr>
          <w:bottom w:val="single" w:color="B08D3D" w:sz="6" w:space="4"/>
        </w:pBdr>
        <w:spacing w:after="150" w:before="300"/>
      </w:pPr>
      <w:r>
        <w:rPr>
          <w:rFonts w:ascii="Georgia" w:cs="Georgia" w:eastAsia="Georgia" w:hAnsi="Georgia"/>
          <w:b/>
          <w:bCs/>
          <w:color w:val="0B1E39"/>
          <w:sz w:val="28"/>
          <w:szCs w:val="28"/>
        </w:rPr>
        <w:t xml:space="preserve">5. What Is Expected From You</w:t>
      </w:r>
    </w:p>
    <w:p>
      <w:pPr>
        <w:pStyle w:val="ListParagraph"/>
        <w:numPr>
          <w:ilvl w:val="0"/>
          <w:numId w:val="4"/>
        </w:numPr>
        <w:spacing w:after="110"/>
      </w:pPr>
      <w:r>
        <w:rPr>
          <w:rFonts w:ascii="Calibri" w:cs="Calibri" w:eastAsia="Calibri" w:hAnsi="Calibri"/>
          <w:color w:val="1A1A1A"/>
          <w:sz w:val="21"/>
          <w:szCs w:val="21"/>
        </w:rPr>
        <w:t xml:space="preserve">Arrive having read the Session 1 reader in full, with your case-study company already in mind.</w:t>
      </w:r>
    </w:p>
    <w:p>
      <w:pPr>
        <w:pStyle w:val="ListParagraph"/>
        <w:numPr>
          <w:ilvl w:val="0"/>
          <w:numId w:val="4"/>
        </w:numPr>
        <w:spacing w:after="110"/>
      </w:pPr>
      <w:r>
        <w:rPr>
          <w:rFonts w:ascii="Calibri" w:cs="Calibri" w:eastAsia="Calibri" w:hAnsi="Calibri"/>
          <w:color w:val="1A1A1A"/>
          <w:sz w:val="21"/>
          <w:szCs w:val="21"/>
        </w:rPr>
        <w:t xml:space="preserve">Bring whatever public information you already have on your company (annual report, investor presentation, recent news) — you will need it for the in-class exercise.</w:t>
      </w:r>
    </w:p>
    <w:p>
      <w:pPr>
        <w:pStyle w:val="ListParagraph"/>
        <w:numPr>
          <w:ilvl w:val="0"/>
          <w:numId w:val="4"/>
        </w:numPr>
        <w:spacing w:after="110"/>
      </w:pPr>
      <w:r>
        <w:rPr>
          <w:rFonts w:ascii="Calibri" w:cs="Calibri" w:eastAsia="Calibri" w:hAnsi="Calibri"/>
          <w:color w:val="1A1A1A"/>
          <w:sz w:val="21"/>
          <w:szCs w:val="21"/>
        </w:rPr>
        <w:t xml:space="preserve">Use this session to agree, as a team, on your first working view of your company's portfolio — this view is the raw material for GW1.</w:t>
      </w:r>
    </w:p>
    <w:p>
      <w:pPr>
        <w:pStyle w:val="ListParagraph"/>
        <w:numPr>
          <w:ilvl w:val="0"/>
          <w:numId w:val="4"/>
        </w:numPr>
        <w:spacing w:after="110"/>
      </w:pPr>
      <w:r>
        <w:rPr>
          <w:rFonts w:ascii="Calibri" w:cs="Calibri" w:eastAsia="Calibri" w:hAnsi="Calibri"/>
          <w:color w:val="1A1A1A"/>
          <w:sz w:val="21"/>
          <w:szCs w:val="21"/>
        </w:rPr>
        <w:t xml:space="preserve">Begin reading ahead into your company's own public materials now; do not wait until GW1 is due to start gathering evidence.</w:t>
      </w:r>
    </w:p>
    <w:p>
      <w:pPr>
        <w:pStyle w:val="ListParagraph"/>
        <w:numPr>
          <w:ilvl w:val="0"/>
          <w:numId w:val="4"/>
        </w:numPr>
        <w:spacing w:after="110"/>
      </w:pPr>
      <w:r>
        <w:rPr>
          <w:rFonts w:ascii="Calibri" w:cs="Calibri" w:eastAsia="Calibri" w:hAnsi="Calibri"/>
          <w:color w:val="1A1A1A"/>
          <w:sz w:val="21"/>
          <w:szCs w:val="21"/>
        </w:rPr>
        <w:t xml:space="preserve">Before leaving this session, agree as a team on the one candidate decision your Investment Committee Simulation proposal (due before Session 2) will argue for — do not leave this until the last minute.</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Page </w:t>
    </w:r>
    <w:r>
      <w:rPr>
        <w:rFonts w:ascii="Calibri" w:cs="Calibri" w:eastAsia="Calibri" w:hAnsi="Calibri"/>
        <w:color w:val="5A5A5A"/>
        <w:sz w:val="16"/>
        <w:szCs w:val="16"/>
      </w:rPr>
      <w:fldChar w:fldCharType="begin"/>
      <w:instrText xml:space="preserve">PAGE</w:instrText>
      <w:fldChar w:fldCharType="separate"/>
      <w:fldChar w:fldCharType="end"/>
    </w:r>
    <w:r>
      <w:rPr>
        <w:rFonts w:ascii="Calibri" w:cs="Calibri" w:eastAsia="Calibri" w:hAnsi="Calibri"/>
        <w:color w:val="5A5A5A"/>
        <w:sz w:val="16"/>
        <w:szCs w:val="16"/>
      </w:rPr>
      <w:t xml:space="preserve"> of </w:t>
    </w:r>
    <w:r>
      <w:rPr>
        <w:rFonts w:ascii="Calibri" w:cs="Calibri" w:eastAsia="Calibri" w:hAnsi="Calibri"/>
        <w:color w:val="5A5A5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48A" w:sz="4" w:space="4"/>
      </w:pBdr>
      <w:jc w:val="right"/>
    </w:pPr>
    <w:r>
      <w:rPr>
        <w:rFonts w:ascii="Calibri" w:cs="Calibri" w:eastAsia="Calibri" w:hAnsi="Calibri"/>
        <w:color w:val="5A5A5A"/>
        <w:sz w:val="16"/>
        <w:szCs w:val="16"/>
      </w:rPr>
      <w:t xml:space="preserve">ADEX 547 · Session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abstractNum w:abstractNumId="3" w15:restartNumberingAfterBreak="0">
    <w:multiLevelType w:val="hybridMultilevel"/>
    <w:lvl w:ilvl="0" w15:tentative="1">
      <w:start w:val="1"/>
      <w:numFmt w:val="decimal"/>
      <w:lvlText w:val="%1."/>
      <w:lvlJc w:val="start"/>
    </w:lvl>
  </w:abstractNum>
  <w:abstractNum w:abstractNumId="4" w15:restartNumberingAfterBreak="0">
    <w:multiLevelType w:val="hybridMultilevel"/>
    <w:lvl w:ilvl="0" w15:tentative="1">
      <w:start w:val="1"/>
      <w:numFmt w:val="decimal"/>
      <w:lvlText w:val="%1."/>
      <w:lvlJc w:val="start"/>
    </w:lvl>
  </w:abstractNum>
  <w:abstractNum w:abstractNumId="5"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4"/>
    <w:lvlOverride w:ilvl="0">
      <w:startOverride w:val="1"/>
    </w:lvlOverride>
  </w:num>
  <w:num w:numId="3">
    <w:abstractNumId w:val="5"/>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2026-07-15T20:01:42.434Z</dcterms:created>
  <dcterms:modified xsi:type="dcterms:W3CDTF">2026-07-15T20:01:42.434Z</dcterms:modified>
</cp:coreProperties>
</file>

<file path=docProps/custom.xml><?xml version="1.0" encoding="utf-8"?>
<Properties xmlns="http://schemas.openxmlformats.org/officeDocument/2006/custom-properties" xmlns:vt="http://schemas.openxmlformats.org/officeDocument/2006/docPropsVTypes"/>
</file>